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7A5" w14:textId="77777777" w:rsidR="00146A5F" w:rsidRPr="00F57E97"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cs="Arial"/>
          <w:b/>
          <w:sz w:val="22"/>
        </w:rPr>
      </w:pPr>
      <w:r w:rsidRPr="00F57E97">
        <w:rPr>
          <w:rFonts w:cs="Arial"/>
          <w:b/>
          <w:sz w:val="22"/>
        </w:rPr>
        <w:t>APPENDIX A</w:t>
      </w:r>
    </w:p>
    <w:p w14:paraId="3D153DBB" w14:textId="77777777" w:rsidR="00146A5F" w:rsidRPr="00F57E97"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cs="Arial"/>
          <w:b/>
          <w:sz w:val="22"/>
        </w:rPr>
      </w:pPr>
    </w:p>
    <w:p w14:paraId="72EE1223" w14:textId="77777777" w:rsidR="00146A5F" w:rsidRPr="002011FA"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cs="Arial"/>
          <w:color w:val="538135" w:themeColor="accent6" w:themeShade="BF"/>
          <w:sz w:val="28"/>
          <w:szCs w:val="28"/>
        </w:rPr>
      </w:pPr>
      <w:r w:rsidRPr="002011FA">
        <w:rPr>
          <w:rFonts w:cs="Arial"/>
          <w:color w:val="538135" w:themeColor="accent6" w:themeShade="BF"/>
          <w:sz w:val="28"/>
          <w:szCs w:val="28"/>
        </w:rPr>
        <w:t xml:space="preserve">TIP SHEET – </w:t>
      </w:r>
      <w:r>
        <w:rPr>
          <w:rFonts w:cs="Arial"/>
          <w:color w:val="538135" w:themeColor="accent6" w:themeShade="BF"/>
          <w:sz w:val="28"/>
          <w:szCs w:val="28"/>
        </w:rPr>
        <w:t>HOME-ARP</w:t>
      </w:r>
    </w:p>
    <w:p w14:paraId="323AB570" w14:textId="77777777" w:rsidR="00146A5F"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cs="Arial"/>
          <w:b/>
          <w:sz w:val="22"/>
        </w:rPr>
      </w:pPr>
    </w:p>
    <w:p w14:paraId="114F52BF" w14:textId="77777777" w:rsidR="00146A5F" w:rsidRDefault="00146A5F" w:rsidP="00146A5F">
      <w:pPr>
        <w:pStyle w:val="ListParagraph"/>
        <w:ind w:left="360"/>
        <w:rPr>
          <w:rFonts w:ascii="Arial" w:hAnsi="Arial" w:cs="Arial"/>
          <w:b/>
          <w:bCs/>
          <w:sz w:val="22"/>
          <w:szCs w:val="22"/>
          <w:u w:val="single"/>
        </w:rPr>
      </w:pPr>
      <w:r>
        <w:rPr>
          <w:rFonts w:ascii="Arial" w:hAnsi="Arial" w:cs="Arial"/>
          <w:b/>
          <w:bCs/>
          <w:sz w:val="22"/>
          <w:szCs w:val="22"/>
        </w:rPr>
        <w:t xml:space="preserve">NO CONTACT:  </w:t>
      </w:r>
      <w:r>
        <w:rPr>
          <w:rFonts w:ascii="Arial" w:hAnsi="Arial" w:cs="Arial"/>
          <w:sz w:val="22"/>
          <w:szCs w:val="22"/>
        </w:rPr>
        <w:t>A</w:t>
      </w:r>
      <w:r w:rsidRPr="00AB1B0A">
        <w:rPr>
          <w:rFonts w:ascii="Arial" w:hAnsi="Arial" w:cs="Arial"/>
          <w:sz w:val="22"/>
          <w:szCs w:val="22"/>
        </w:rPr>
        <w:t>n Applicant</w:t>
      </w:r>
      <w:r>
        <w:rPr>
          <w:rFonts w:ascii="Arial" w:hAnsi="Arial" w:cs="Arial"/>
          <w:sz w:val="22"/>
          <w:szCs w:val="22"/>
        </w:rPr>
        <w:t>, nor anyone on the Applicant’s behalf,</w:t>
      </w:r>
      <w:r w:rsidRPr="00AB1B0A">
        <w:rPr>
          <w:rFonts w:ascii="Arial" w:hAnsi="Arial" w:cs="Arial"/>
          <w:sz w:val="22"/>
          <w:szCs w:val="22"/>
        </w:rPr>
        <w:t xml:space="preserve"> shall not contact any IFA staff or Board members, in order to unduly influence IFA’s determination related to the award of NHTF funds. If it has been determined by IFA that a staff member or Board member has been improperly contacted by the Applicant or a party on behalf of the Applicant, then IFA </w:t>
      </w:r>
      <w:r>
        <w:rPr>
          <w:rFonts w:ascii="Arial" w:hAnsi="Arial" w:cs="Arial"/>
          <w:sz w:val="22"/>
          <w:szCs w:val="22"/>
        </w:rPr>
        <w:t>will</w:t>
      </w:r>
      <w:r w:rsidRPr="00AB1B0A">
        <w:rPr>
          <w:rFonts w:ascii="Arial" w:hAnsi="Arial" w:cs="Arial"/>
          <w:sz w:val="22"/>
          <w:szCs w:val="22"/>
        </w:rPr>
        <w:t xml:space="preserve"> reject the Application.</w:t>
      </w:r>
    </w:p>
    <w:p w14:paraId="2B2620AF" w14:textId="77777777" w:rsidR="00146A5F" w:rsidRDefault="00146A5F" w:rsidP="00146A5F">
      <w:pPr>
        <w:pStyle w:val="ListParagraph"/>
        <w:ind w:left="360"/>
        <w:rPr>
          <w:rFonts w:ascii="Arial" w:hAnsi="Arial" w:cs="Arial"/>
          <w:b/>
          <w:bCs/>
          <w:sz w:val="22"/>
          <w:szCs w:val="22"/>
          <w:u w:val="single"/>
        </w:rPr>
      </w:pPr>
    </w:p>
    <w:p w14:paraId="70C0B55C" w14:textId="77777777" w:rsidR="00146A5F" w:rsidRPr="00A7363C" w:rsidRDefault="00146A5F" w:rsidP="00146A5F">
      <w:pPr>
        <w:pStyle w:val="ListParagraph"/>
        <w:ind w:left="360"/>
        <w:rPr>
          <w:rFonts w:ascii="Arial" w:hAnsi="Arial" w:cs="Arial"/>
          <w:sz w:val="22"/>
          <w:szCs w:val="22"/>
        </w:rPr>
      </w:pPr>
      <w:r w:rsidRPr="000165C0">
        <w:rPr>
          <w:rFonts w:ascii="Arial" w:hAnsi="Arial" w:cs="Arial"/>
          <w:b/>
          <w:bCs/>
          <w:sz w:val="22"/>
          <w:szCs w:val="22"/>
        </w:rPr>
        <w:t>DEFICIENCY REQUEST AFTER APPLICATION SUBMITTAL:</w:t>
      </w:r>
      <w:r w:rsidRPr="00AB1B0A">
        <w:rPr>
          <w:rFonts w:ascii="Arial" w:hAnsi="Arial" w:cs="Arial"/>
          <w:sz w:val="22"/>
          <w:szCs w:val="22"/>
        </w:rPr>
        <w:t xml:space="preserve">  Once the </w:t>
      </w:r>
      <w:r>
        <w:rPr>
          <w:rFonts w:ascii="Arial" w:hAnsi="Arial" w:cs="Arial"/>
          <w:sz w:val="22"/>
          <w:szCs w:val="22"/>
        </w:rPr>
        <w:t>a</w:t>
      </w:r>
      <w:r w:rsidRPr="00AB1B0A">
        <w:rPr>
          <w:rFonts w:ascii="Arial" w:hAnsi="Arial" w:cs="Arial"/>
          <w:sz w:val="22"/>
          <w:szCs w:val="22"/>
        </w:rPr>
        <w:t>pplication has been submitted,</w:t>
      </w:r>
      <w:r>
        <w:rPr>
          <w:rFonts w:ascii="Arial" w:hAnsi="Arial" w:cs="Arial"/>
          <w:sz w:val="22"/>
          <w:szCs w:val="22"/>
        </w:rPr>
        <w:t xml:space="preserve"> IFA HOME-ARP Team will review the application.  If necessary,</w:t>
      </w:r>
      <w:r w:rsidRPr="00AB1B0A">
        <w:rPr>
          <w:rFonts w:ascii="Arial" w:hAnsi="Arial" w:cs="Arial"/>
          <w:sz w:val="22"/>
          <w:szCs w:val="22"/>
        </w:rPr>
        <w:t xml:space="preserve"> IFA will </w:t>
      </w:r>
      <w:r>
        <w:rPr>
          <w:rFonts w:ascii="Arial" w:hAnsi="Arial" w:cs="Arial"/>
          <w:sz w:val="22"/>
          <w:szCs w:val="22"/>
        </w:rPr>
        <w:t>send a deficiency email to the contact person listed in the application,</w:t>
      </w:r>
      <w:r w:rsidRPr="00AB1B0A">
        <w:rPr>
          <w:rFonts w:ascii="Arial" w:hAnsi="Arial" w:cs="Arial"/>
          <w:sz w:val="22"/>
          <w:szCs w:val="22"/>
        </w:rPr>
        <w:t xml:space="preserve"> </w:t>
      </w:r>
      <w:r>
        <w:rPr>
          <w:rFonts w:ascii="Arial" w:hAnsi="Arial" w:cs="Arial"/>
          <w:sz w:val="22"/>
          <w:szCs w:val="22"/>
        </w:rPr>
        <w:t>requesting</w:t>
      </w:r>
      <w:r w:rsidRPr="00AB1B0A">
        <w:rPr>
          <w:rFonts w:ascii="Arial" w:hAnsi="Arial" w:cs="Arial"/>
          <w:sz w:val="22"/>
          <w:szCs w:val="22"/>
        </w:rPr>
        <w:t xml:space="preserve"> information </w:t>
      </w:r>
      <w:r>
        <w:rPr>
          <w:rFonts w:ascii="Arial" w:hAnsi="Arial" w:cs="Arial"/>
          <w:sz w:val="22"/>
          <w:szCs w:val="22"/>
        </w:rPr>
        <w:t>to</w:t>
      </w:r>
      <w:r w:rsidRPr="00AB1B0A">
        <w:rPr>
          <w:rFonts w:ascii="Arial" w:hAnsi="Arial" w:cs="Arial"/>
          <w:sz w:val="22"/>
          <w:szCs w:val="22"/>
        </w:rPr>
        <w:t xml:space="preserve"> </w:t>
      </w:r>
      <w:r>
        <w:rPr>
          <w:rFonts w:ascii="Arial" w:hAnsi="Arial" w:cs="Arial"/>
          <w:sz w:val="22"/>
          <w:szCs w:val="22"/>
        </w:rPr>
        <w:t>supplement</w:t>
      </w:r>
      <w:r w:rsidRPr="00AB1B0A">
        <w:rPr>
          <w:rFonts w:ascii="Arial" w:hAnsi="Arial" w:cs="Arial"/>
          <w:sz w:val="22"/>
          <w:szCs w:val="22"/>
        </w:rPr>
        <w:t xml:space="preserve"> or </w:t>
      </w:r>
      <w:r>
        <w:rPr>
          <w:rFonts w:ascii="Arial" w:hAnsi="Arial" w:cs="Arial"/>
          <w:sz w:val="22"/>
          <w:szCs w:val="22"/>
        </w:rPr>
        <w:t>clarify</w:t>
      </w:r>
      <w:r w:rsidRPr="00AB1B0A">
        <w:rPr>
          <w:rFonts w:ascii="Arial" w:hAnsi="Arial" w:cs="Arial"/>
          <w:sz w:val="22"/>
          <w:szCs w:val="22"/>
        </w:rPr>
        <w:t xml:space="preserve"> data</w:t>
      </w:r>
      <w:r>
        <w:rPr>
          <w:rFonts w:ascii="Arial" w:hAnsi="Arial" w:cs="Arial"/>
          <w:sz w:val="22"/>
          <w:szCs w:val="22"/>
        </w:rPr>
        <w:t xml:space="preserve"> or applicant response.  The deficiency email will indicate the due date for the deficiency response.</w:t>
      </w:r>
    </w:p>
    <w:p w14:paraId="2BFA77D2" w14:textId="77777777" w:rsidR="00146A5F" w:rsidRPr="00A7363C"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cs="Arial"/>
          <w:sz w:val="22"/>
        </w:rPr>
      </w:pPr>
    </w:p>
    <w:p w14:paraId="42D36E42" w14:textId="77777777" w:rsidR="00146A5F" w:rsidRPr="00A7363C" w:rsidRDefault="00146A5F" w:rsidP="00146A5F">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left="720" w:right="-180"/>
        <w:jc w:val="both"/>
        <w:rPr>
          <w:rFonts w:cs="Arial"/>
          <w:sz w:val="22"/>
        </w:rPr>
      </w:pPr>
      <w:r w:rsidRPr="00A7363C">
        <w:rPr>
          <w:rFonts w:cs="Arial"/>
          <w:sz w:val="22"/>
        </w:rPr>
        <w:t xml:space="preserve">Developers will only be </w:t>
      </w:r>
      <w:r>
        <w:rPr>
          <w:rFonts w:cs="Arial"/>
          <w:sz w:val="22"/>
        </w:rPr>
        <w:t>eligible</w:t>
      </w:r>
      <w:r w:rsidRPr="00A7363C">
        <w:rPr>
          <w:rFonts w:cs="Arial"/>
          <w:sz w:val="22"/>
        </w:rPr>
        <w:t xml:space="preserve"> for up to one (1) </w:t>
      </w:r>
      <w:r>
        <w:rPr>
          <w:rFonts w:cs="Arial"/>
          <w:sz w:val="22"/>
        </w:rPr>
        <w:t>HOME-ARP</w:t>
      </w:r>
      <w:r w:rsidRPr="00A7363C">
        <w:rPr>
          <w:rFonts w:cs="Arial"/>
          <w:sz w:val="22"/>
        </w:rPr>
        <w:t xml:space="preserve"> project per funding round. </w:t>
      </w:r>
    </w:p>
    <w:p w14:paraId="4439B1F1" w14:textId="77777777" w:rsidR="00146A5F" w:rsidRPr="00A7363C"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cs="Arial"/>
          <w:sz w:val="22"/>
        </w:rPr>
      </w:pPr>
    </w:p>
    <w:p w14:paraId="746C4DD4" w14:textId="77777777" w:rsidR="00146A5F" w:rsidRPr="00A7363C" w:rsidRDefault="00146A5F" w:rsidP="00146A5F">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left="720" w:right="-180"/>
        <w:jc w:val="both"/>
        <w:rPr>
          <w:rFonts w:cs="Arial"/>
          <w:sz w:val="22"/>
        </w:rPr>
      </w:pPr>
      <w:r>
        <w:rPr>
          <w:rFonts w:cs="Arial"/>
          <w:sz w:val="22"/>
        </w:rPr>
        <w:t xml:space="preserve">Open HOME/NHTF Rental Projects for Developer.  Developer listed on application may have an open HOME/NHTF rental project at date of application submittal so long as these housing projects are not delinquent and are compliant with program requirements.  </w:t>
      </w:r>
    </w:p>
    <w:p w14:paraId="79F2B1B4" w14:textId="77777777" w:rsidR="00146A5F" w:rsidRPr="00F57E97"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both"/>
        <w:rPr>
          <w:rFonts w:cs="Arial"/>
          <w:sz w:val="22"/>
        </w:rPr>
      </w:pPr>
    </w:p>
    <w:p w14:paraId="6E98319C" w14:textId="77777777" w:rsidR="00146A5F" w:rsidRDefault="00146A5F" w:rsidP="00146A5F">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left="720" w:right="-180"/>
        <w:jc w:val="both"/>
        <w:rPr>
          <w:rFonts w:cs="Arial"/>
          <w:sz w:val="22"/>
        </w:rPr>
      </w:pPr>
      <w:r>
        <w:rPr>
          <w:rFonts w:cs="Arial"/>
          <w:sz w:val="22"/>
        </w:rPr>
        <w:t xml:space="preserve">Development of affordable rental units includes building acquisition, construction, or rehabilitation.  </w:t>
      </w:r>
    </w:p>
    <w:p w14:paraId="5FB42B2D" w14:textId="77777777" w:rsidR="00146A5F"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both"/>
        <w:rPr>
          <w:rFonts w:cs="Arial"/>
          <w:sz w:val="22"/>
        </w:rPr>
      </w:pPr>
    </w:p>
    <w:p w14:paraId="1DE940C8" w14:textId="77777777" w:rsidR="00146A5F" w:rsidRPr="00F57E97" w:rsidRDefault="00146A5F" w:rsidP="00146A5F">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left="720" w:right="-180"/>
        <w:jc w:val="both"/>
        <w:rPr>
          <w:rFonts w:cs="Arial"/>
          <w:sz w:val="22"/>
        </w:rPr>
      </w:pPr>
      <w:r>
        <w:rPr>
          <w:rFonts w:cs="Arial"/>
          <w:sz w:val="22"/>
        </w:rPr>
        <w:t>Transitional housing is not eligible for assistance.</w:t>
      </w:r>
    </w:p>
    <w:p w14:paraId="1866ED8F" w14:textId="77777777" w:rsidR="00146A5F" w:rsidRPr="00F57E97" w:rsidRDefault="00146A5F" w:rsidP="00146A5F">
      <w:pPr>
        <w:tabs>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hanging="360"/>
        <w:jc w:val="both"/>
        <w:rPr>
          <w:rFonts w:cs="Arial"/>
          <w:sz w:val="22"/>
        </w:rPr>
      </w:pPr>
    </w:p>
    <w:p w14:paraId="3FB44391" w14:textId="77777777" w:rsidR="00146A5F" w:rsidRPr="00F57E97" w:rsidRDefault="00146A5F" w:rsidP="00146A5F">
      <w:pPr>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right="-180"/>
        <w:jc w:val="both"/>
        <w:rPr>
          <w:rFonts w:cs="Arial"/>
          <w:sz w:val="22"/>
        </w:rPr>
      </w:pPr>
      <w:r>
        <w:rPr>
          <w:rFonts w:cs="Arial"/>
          <w:sz w:val="22"/>
        </w:rPr>
        <w:t>HOME-ARP</w:t>
      </w:r>
      <w:r w:rsidRPr="00F57E97">
        <w:rPr>
          <w:rFonts w:cs="Arial"/>
          <w:sz w:val="22"/>
        </w:rPr>
        <w:t xml:space="preserve"> </w:t>
      </w:r>
      <w:r>
        <w:rPr>
          <w:rFonts w:cs="Arial"/>
          <w:sz w:val="22"/>
        </w:rPr>
        <w:t xml:space="preserve">funds shall be used to benefit qualifying populations through eligible activities.  Eligible activities include development of affordable rental housing and supportive services.  </w:t>
      </w:r>
    </w:p>
    <w:p w14:paraId="0190E97F" w14:textId="77777777" w:rsidR="00146A5F" w:rsidRPr="003A553C" w:rsidRDefault="00146A5F" w:rsidP="00146A5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both"/>
        <w:rPr>
          <w:rFonts w:cs="Arial"/>
          <w:sz w:val="22"/>
        </w:rPr>
      </w:pPr>
    </w:p>
    <w:p w14:paraId="2F5A5C1E" w14:textId="77777777" w:rsidR="00146A5F" w:rsidRPr="00F57E97" w:rsidRDefault="00146A5F" w:rsidP="00146A5F">
      <w:pPr>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right="-180"/>
        <w:jc w:val="both"/>
        <w:rPr>
          <w:rFonts w:cs="Arial"/>
          <w:sz w:val="22"/>
        </w:rPr>
      </w:pPr>
      <w:r>
        <w:rPr>
          <w:rFonts w:cs="Arial"/>
          <w:sz w:val="22"/>
        </w:rPr>
        <w:t>HOME-ARP</w:t>
      </w:r>
      <w:r w:rsidRPr="00F57E97">
        <w:rPr>
          <w:rFonts w:cs="Arial"/>
          <w:sz w:val="22"/>
        </w:rPr>
        <w:t xml:space="preserve"> units must remain affordable for </w:t>
      </w:r>
      <w:r>
        <w:rPr>
          <w:rFonts w:cs="Arial"/>
          <w:sz w:val="22"/>
        </w:rPr>
        <w:t>15 years</w:t>
      </w:r>
      <w:r w:rsidRPr="00F57E97">
        <w:rPr>
          <w:rFonts w:cs="Arial"/>
          <w:sz w:val="22"/>
        </w:rPr>
        <w:t>.</w:t>
      </w:r>
      <w:r>
        <w:rPr>
          <w:rFonts w:cs="Arial"/>
          <w:sz w:val="22"/>
        </w:rPr>
        <w:t xml:space="preserve">  </w:t>
      </w:r>
      <w:r w:rsidRPr="00F57E97">
        <w:rPr>
          <w:rFonts w:cs="Arial"/>
          <w:sz w:val="22"/>
        </w:rPr>
        <w:t xml:space="preserve">Long-term affordability for rental activities must be secured by covenants </w:t>
      </w:r>
      <w:r>
        <w:rPr>
          <w:rFonts w:cs="Arial"/>
          <w:sz w:val="22"/>
        </w:rPr>
        <w:t>and</w:t>
      </w:r>
      <w:r w:rsidRPr="00F57E97">
        <w:rPr>
          <w:rFonts w:cs="Arial"/>
          <w:sz w:val="22"/>
        </w:rPr>
        <w:t xml:space="preserve"> deed restrictions.</w:t>
      </w:r>
    </w:p>
    <w:p w14:paraId="388CC078" w14:textId="77777777" w:rsidR="00146A5F" w:rsidRPr="00F57E97" w:rsidRDefault="00146A5F" w:rsidP="00146A5F">
      <w:pPr>
        <w:tabs>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360" w:right="-180" w:firstLine="60"/>
        <w:jc w:val="both"/>
        <w:rPr>
          <w:rFonts w:cs="Arial"/>
          <w:sz w:val="22"/>
        </w:rPr>
      </w:pPr>
    </w:p>
    <w:p w14:paraId="0AC08B35" w14:textId="77777777" w:rsidR="00146A5F" w:rsidRPr="00493227" w:rsidRDefault="00146A5F" w:rsidP="00146A5F">
      <w:pPr>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spacing w:after="0" w:line="240" w:lineRule="auto"/>
        <w:ind w:right="-180"/>
        <w:jc w:val="both"/>
      </w:pPr>
      <w:r w:rsidRPr="00F57E97">
        <w:rPr>
          <w:rFonts w:cs="Arial"/>
          <w:sz w:val="22"/>
        </w:rPr>
        <w:t xml:space="preserve">The maximum amount of </w:t>
      </w:r>
      <w:r>
        <w:rPr>
          <w:rFonts w:cs="Arial"/>
          <w:sz w:val="22"/>
        </w:rPr>
        <w:t>HOME-ARP</w:t>
      </w:r>
      <w:r w:rsidRPr="00F57E97">
        <w:rPr>
          <w:rFonts w:cs="Arial"/>
          <w:sz w:val="22"/>
        </w:rPr>
        <w:t xml:space="preserve"> assistance per rental unit is </w:t>
      </w:r>
      <w:r>
        <w:rPr>
          <w:rFonts w:cs="Arial"/>
          <w:sz w:val="22"/>
        </w:rPr>
        <w:t>detailed in the application and in the HOME-ARP Allocation Plan, and the minimum amount of HOME-ARP assistance is $1,000</w:t>
      </w:r>
      <w:r w:rsidRPr="00F57E97">
        <w:rPr>
          <w:rFonts w:cs="Arial"/>
          <w:sz w:val="22"/>
        </w:rPr>
        <w:t xml:space="preserve">.  </w:t>
      </w:r>
    </w:p>
    <w:p w14:paraId="6AD1D580"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EF76" w14:textId="4D51E549" w:rsidR="00146A5F" w:rsidRDefault="00146A5F">
    <w:pPr>
      <w:pStyle w:val="Footer"/>
    </w:pPr>
    <w:r>
      <w:t>2025 HOME-ARP Round #3</w:t>
    </w:r>
  </w:p>
  <w:p w14:paraId="78B4775C" w14:textId="67983621" w:rsidR="007A25BA" w:rsidRPr="007A25BA" w:rsidRDefault="007A25BA" w:rsidP="007A2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F9D"/>
    <w:multiLevelType w:val="singleLevel"/>
    <w:tmpl w:val="04090001"/>
    <w:lvl w:ilvl="0">
      <w:start w:val="1"/>
      <w:numFmt w:val="bullet"/>
      <w:lvlText w:val=""/>
      <w:lvlJc w:val="left"/>
      <w:pPr>
        <w:ind w:left="810" w:hanging="360"/>
      </w:pPr>
      <w:rPr>
        <w:rFonts w:ascii="Symbol" w:hAnsi="Symbol" w:hint="default"/>
      </w:rPr>
    </w:lvl>
  </w:abstractNum>
  <w:abstractNum w:abstractNumId="1" w15:restartNumberingAfterBreak="0">
    <w:nsid w:val="6A423850"/>
    <w:multiLevelType w:val="hybridMultilevel"/>
    <w:tmpl w:val="40C4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46A5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C07D9"/>
    <w:rsid w:val="005D6324"/>
    <w:rsid w:val="005D6CB0"/>
    <w:rsid w:val="00633BD7"/>
    <w:rsid w:val="00671270"/>
    <w:rsid w:val="00684F2A"/>
    <w:rsid w:val="006B2F74"/>
    <w:rsid w:val="00722C35"/>
    <w:rsid w:val="007A25BA"/>
    <w:rsid w:val="007B2EFA"/>
    <w:rsid w:val="007B3A13"/>
    <w:rsid w:val="007F1BD9"/>
    <w:rsid w:val="00806037"/>
    <w:rsid w:val="00A157A6"/>
    <w:rsid w:val="00B23584"/>
    <w:rsid w:val="00B3408F"/>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2B0C7516-F338-4B24-B0C6-EF7AD3AD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ListParagraph">
    <w:name w:val="List Paragraph"/>
    <w:basedOn w:val="Normal"/>
    <w:uiPriority w:val="34"/>
    <w:qFormat/>
    <w:rsid w:val="00146A5F"/>
    <w:pPr>
      <w:spacing w:after="0" w:line="240" w:lineRule="auto"/>
      <w:ind w:left="720"/>
      <w:contextualSpacing/>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6E77AE94-2B1F-4530-95EB-8571FD3C4237}">
  <ds:schemaRefs>
    <ds:schemaRef ds:uri="1d9aa3b6-f5fb-4571-8701-56f20689897b"/>
    <ds:schemaRef ds:uri="http://schemas.microsoft.com/office/2006/documentManagement/types"/>
    <ds:schemaRef ds:uri="http://purl.org/dc/terms/"/>
    <ds:schemaRef ds:uri="http://www.w3.org/XML/1998/namespace"/>
    <ds:schemaRef ds:uri="http://schemas.microsoft.com/office/infopath/2007/PartnerControls"/>
    <ds:schemaRef ds:uri="d2cbfc94-a69a-4175-9de2-749d5ca1cf7f"/>
    <ds:schemaRef ds:uri="http://purl.org/dc/elements/1.1/"/>
    <ds:schemaRef ds:uri="http://schemas.openxmlformats.org/package/2006/metadata/core-properties"/>
    <ds:schemaRef ds:uri="http://schemas.microsoft.com/office/2006/metadata/properties"/>
    <ds:schemaRef ds:uri="http://purl.org/dc/dcmitype/"/>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1243BF53-5421-4DE0-BD5B-E9A14F55C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9753050a-b8a0-4b0b-b1e0-08eda23c6e98.dotx</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2025-08-18T21:33:00Z</dcterms:created>
  <dcterms:modified xsi:type="dcterms:W3CDTF">2025-08-18T21:33:00Z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