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5F8C47" w14:textId="388614BA" w:rsidR="00BE7188" w:rsidRDefault="00BE7188" w:rsidP="00AA37F8">
      <w:pPr>
        <w:spacing w:after="0" w:line="276" w:lineRule="auto"/>
        <w:ind w:firstLine="720"/>
        <w:rPr>
          <w:rFonts w:cstheme="minorHAnsi"/>
          <w:sz w:val="24"/>
          <w:szCs w:val="24"/>
        </w:rPr>
      </w:pPr>
      <w:bookmarkStart w:id="0" w:name="_Hlk40360990"/>
      <w:r>
        <w:rPr>
          <w:rFonts w:cstheme="minorHAnsi"/>
          <w:sz w:val="24"/>
          <w:szCs w:val="24"/>
        </w:rPr>
        <w:t xml:space="preserve">The following proposal resulted from empirical research, review of Homeless Management Information System (HMIS) data and calculations of housing gaps and needs assistance based on statewide, regional, and county-level factors. Specifically, the ICA worked with IFA to review and consider pre-COVID  poverty and unemployment rates, the subsequent rise in COVID-related unemployment, household income, housing costs and gaps, rent burdened households, and the impacts of COVID-triggered utility and eviction moratoriums (and the lifting of such moratoriums), among other factors. </w:t>
      </w:r>
    </w:p>
    <w:p w14:paraId="0AD5E6A2" w14:textId="77777777" w:rsidR="00AA37F8" w:rsidRDefault="00AA37F8" w:rsidP="00AA37F8">
      <w:pPr>
        <w:spacing w:after="0" w:line="276" w:lineRule="auto"/>
        <w:ind w:firstLine="720"/>
        <w:rPr>
          <w:rFonts w:cstheme="minorHAnsi"/>
          <w:sz w:val="24"/>
          <w:szCs w:val="24"/>
        </w:rPr>
      </w:pPr>
    </w:p>
    <w:p w14:paraId="2B2972B3" w14:textId="0335DA68" w:rsidR="00BE7188" w:rsidRDefault="00AA37F8" w:rsidP="00AA37F8">
      <w:pPr>
        <w:spacing w:after="0" w:line="276" w:lineRule="auto"/>
        <w:ind w:firstLine="720"/>
        <w:rPr>
          <w:rFonts w:cstheme="minorHAnsi"/>
          <w:sz w:val="24"/>
          <w:szCs w:val="24"/>
        </w:rPr>
      </w:pPr>
      <w:bookmarkStart w:id="1" w:name="_Hlk40361958"/>
      <w:r>
        <w:rPr>
          <w:noProof/>
        </w:rPr>
        <w:drawing>
          <wp:anchor distT="0" distB="0" distL="114300" distR="114300" simplePos="0" relativeHeight="251658240" behindDoc="0" locked="0" layoutInCell="1" allowOverlap="1" wp14:anchorId="5E0737F0" wp14:editId="44086C59">
            <wp:simplePos x="0" y="0"/>
            <wp:positionH relativeFrom="margin">
              <wp:align>right</wp:align>
            </wp:positionH>
            <wp:positionV relativeFrom="margin">
              <wp:posOffset>2895600</wp:posOffset>
            </wp:positionV>
            <wp:extent cx="2861945" cy="1952625"/>
            <wp:effectExtent l="0" t="0" r="14605" b="9525"/>
            <wp:wrapSquare wrapText="bothSides"/>
            <wp:docPr id="2" name="Chart 2">
              <a:extLst xmlns:a="http://schemas.openxmlformats.org/drawingml/2006/main">
                <a:ext uri="{FF2B5EF4-FFF2-40B4-BE49-F238E27FC236}">
                  <a16:creationId xmlns:a16="http://schemas.microsoft.com/office/drawing/2014/main" id="{B82C7235-B76F-42A6-BDE6-8564EDDA986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E7188" w:rsidRPr="00BB02D1">
        <w:rPr>
          <w:rFonts w:cstheme="minorHAnsi"/>
          <w:sz w:val="24"/>
          <w:szCs w:val="24"/>
        </w:rPr>
        <w:t>The first action with the available CARES funds is an expansion of existing ESG recipient projects funding to 150% of existing allocations, thereby making certain the existing infrastructure will be more secure, including prevention, rapid rehousing, and emergency shelter programming.</w:t>
      </w:r>
      <w:bookmarkEnd w:id="1"/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7988E53" wp14:editId="789902E9">
                <wp:simplePos x="0" y="0"/>
                <wp:positionH relativeFrom="column">
                  <wp:posOffset>3067050</wp:posOffset>
                </wp:positionH>
                <wp:positionV relativeFrom="paragraph">
                  <wp:posOffset>927100</wp:posOffset>
                </wp:positionV>
                <wp:extent cx="2861945" cy="457200"/>
                <wp:effectExtent l="0" t="0" r="14605" b="0"/>
                <wp:wrapSquare wrapText="bothSides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6194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73DFA41" w14:textId="36BBB706" w:rsidR="00AA37F8" w:rsidRPr="00FB3E38" w:rsidRDefault="00AA37F8" w:rsidP="00AA37F8">
                            <w:pPr>
                              <w:pStyle w:val="Caption"/>
                              <w:rPr>
                                <w:noProof/>
                              </w:rPr>
                            </w:pPr>
                            <w:r>
                              <w:t>Table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7988E53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241.5pt;margin-top:73pt;width:225.35pt;height:36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" filled="f" stroked="f">
                <v:textbox inset="0,0,0,0">
                  <w:txbxContent>
                    <w:p w14:paraId="673DFA41" w14:textId="36BBB706" w:rsidR="00AA37F8" w:rsidRPr="00FB3E38" w:rsidRDefault="00AA37F8" w:rsidP="00AA37F8">
                      <w:pPr>
                        <w:pStyle w:val="Caption"/>
                        <w:rPr>
                          <w:noProof/>
                        </w:rPr>
                      </w:pPr>
                      <w:r>
                        <w:t>Table 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cstheme="minorHAnsi"/>
          <w:sz w:val="24"/>
          <w:szCs w:val="24"/>
        </w:rPr>
        <w:t xml:space="preserve"> </w:t>
      </w:r>
      <w:r w:rsidR="00BE7188">
        <w:rPr>
          <w:rFonts w:cstheme="minorHAnsi"/>
          <w:sz w:val="24"/>
          <w:szCs w:val="24"/>
        </w:rPr>
        <w:t>Beyond the initial 50% expansion of allocation to existing ESG grantees, statewide we recommend that 45% of funds be allocated to prevention while 55% is allocated to rapid re-housing</w:t>
      </w:r>
      <w:r w:rsidR="000F6F81">
        <w:rPr>
          <w:rFonts w:cstheme="minorHAnsi"/>
          <w:sz w:val="24"/>
          <w:szCs w:val="24"/>
        </w:rPr>
        <w:t xml:space="preserve"> (table 1)</w:t>
      </w:r>
      <w:r w:rsidR="00BE7188">
        <w:rPr>
          <w:rFonts w:cstheme="minorHAnsi"/>
          <w:sz w:val="24"/>
          <w:szCs w:val="24"/>
        </w:rPr>
        <w:t xml:space="preserve">. </w:t>
      </w:r>
      <w:r w:rsidR="00BE7188" w:rsidRPr="00C035A2">
        <w:rPr>
          <w:rFonts w:cstheme="minorHAnsi"/>
          <w:sz w:val="24"/>
          <w:szCs w:val="24"/>
        </w:rPr>
        <w:t xml:space="preserve">On average, county by county, the new jobless claims in Iowa over the </w:t>
      </w:r>
      <w:r w:rsidR="00BE7188">
        <w:rPr>
          <w:rFonts w:cstheme="minorHAnsi"/>
          <w:sz w:val="24"/>
          <w:szCs w:val="24"/>
        </w:rPr>
        <w:t xml:space="preserve">five </w:t>
      </w:r>
      <w:r w:rsidR="00BE7188" w:rsidRPr="00C035A2">
        <w:rPr>
          <w:rFonts w:cstheme="minorHAnsi"/>
          <w:sz w:val="24"/>
          <w:szCs w:val="24"/>
        </w:rPr>
        <w:t xml:space="preserve">weeks </w:t>
      </w:r>
      <w:r w:rsidR="00BE7188">
        <w:rPr>
          <w:rFonts w:cstheme="minorHAnsi"/>
          <w:sz w:val="24"/>
          <w:szCs w:val="24"/>
        </w:rPr>
        <w:t xml:space="preserve">following the emergence of </w:t>
      </w:r>
      <w:r w:rsidR="00BE7188" w:rsidRPr="00C035A2">
        <w:rPr>
          <w:rFonts w:cstheme="minorHAnsi"/>
          <w:sz w:val="24"/>
          <w:szCs w:val="24"/>
        </w:rPr>
        <w:t>COVID</w:t>
      </w:r>
      <w:r w:rsidR="00BE7188">
        <w:rPr>
          <w:rFonts w:cstheme="minorHAnsi"/>
          <w:sz w:val="24"/>
          <w:szCs w:val="24"/>
        </w:rPr>
        <w:t xml:space="preserve">-19 </w:t>
      </w:r>
      <w:r w:rsidR="00BE7188" w:rsidRPr="00C035A2">
        <w:rPr>
          <w:rFonts w:cstheme="minorHAnsi"/>
          <w:sz w:val="24"/>
          <w:szCs w:val="24"/>
        </w:rPr>
        <w:t>were</w:t>
      </w:r>
      <w:r w:rsidR="00BE7188">
        <w:rPr>
          <w:rFonts w:cstheme="minorHAnsi"/>
          <w:sz w:val="24"/>
          <w:szCs w:val="24"/>
        </w:rPr>
        <w:t xml:space="preserve"> </w:t>
      </w:r>
      <w:r w:rsidR="00BE7188" w:rsidRPr="00C035A2">
        <w:rPr>
          <w:rFonts w:cstheme="minorHAnsi"/>
          <w:sz w:val="24"/>
          <w:szCs w:val="24"/>
        </w:rPr>
        <w:t>300%</w:t>
      </w:r>
      <w:r w:rsidR="00BE7188" w:rsidRPr="000D3AB3">
        <w:t xml:space="preserve"> </w:t>
      </w:r>
      <w:r w:rsidR="00BE7188">
        <w:t xml:space="preserve">of the baseline </w:t>
      </w:r>
      <w:r w:rsidR="00BE7188" w:rsidRPr="00C035A2">
        <w:rPr>
          <w:rFonts w:cstheme="minorHAnsi"/>
          <w:sz w:val="24"/>
          <w:szCs w:val="24"/>
        </w:rPr>
        <w:t xml:space="preserve">unemployment </w:t>
      </w:r>
      <w:r w:rsidR="00BE7188">
        <w:rPr>
          <w:rFonts w:cstheme="minorHAnsi"/>
          <w:sz w:val="24"/>
          <w:szCs w:val="24"/>
        </w:rPr>
        <w:t>rates.</w:t>
      </w:r>
      <w:r w:rsidR="00BE7188" w:rsidRPr="00C035A2">
        <w:rPr>
          <w:rFonts w:cstheme="minorHAnsi"/>
          <w:sz w:val="24"/>
          <w:szCs w:val="24"/>
        </w:rPr>
        <w:t xml:space="preserve"> </w:t>
      </w:r>
      <w:r w:rsidR="00BE7188">
        <w:rPr>
          <w:rFonts w:cstheme="minorHAnsi"/>
          <w:sz w:val="24"/>
          <w:szCs w:val="24"/>
        </w:rPr>
        <w:t>When crisis-related housing</w:t>
      </w:r>
      <w:r w:rsidR="00BE7188" w:rsidRPr="00C035A2">
        <w:rPr>
          <w:rFonts w:cstheme="minorHAnsi"/>
          <w:sz w:val="24"/>
          <w:szCs w:val="24"/>
        </w:rPr>
        <w:t xml:space="preserve"> eviction moratorium</w:t>
      </w:r>
      <w:r w:rsidR="00BE7188">
        <w:rPr>
          <w:rFonts w:cstheme="minorHAnsi"/>
          <w:sz w:val="24"/>
          <w:szCs w:val="24"/>
        </w:rPr>
        <w:t xml:space="preserve"> are lifted, we anticipate</w:t>
      </w:r>
      <w:r w:rsidR="00BE7188" w:rsidRPr="00C035A2">
        <w:rPr>
          <w:rFonts w:cstheme="minorHAnsi"/>
          <w:sz w:val="24"/>
          <w:szCs w:val="24"/>
        </w:rPr>
        <w:t xml:space="preserve"> significant increases in need</w:t>
      </w:r>
      <w:r w:rsidR="00BE7188">
        <w:rPr>
          <w:rFonts w:cstheme="minorHAnsi"/>
          <w:sz w:val="24"/>
          <w:szCs w:val="24"/>
        </w:rPr>
        <w:t xml:space="preserve"> for homeless prevention assistance</w:t>
      </w:r>
      <w:r w:rsidR="00BE7188" w:rsidRPr="00C035A2">
        <w:rPr>
          <w:rFonts w:cstheme="minorHAnsi"/>
          <w:sz w:val="24"/>
          <w:szCs w:val="24"/>
        </w:rPr>
        <w:t xml:space="preserve">. </w:t>
      </w:r>
      <w:r w:rsidR="00BE7188">
        <w:rPr>
          <w:rFonts w:cstheme="minorHAnsi"/>
          <w:sz w:val="24"/>
          <w:szCs w:val="24"/>
        </w:rPr>
        <w:t>P</w:t>
      </w:r>
      <w:r w:rsidR="00BE7188" w:rsidRPr="00C035A2">
        <w:rPr>
          <w:rFonts w:cstheme="minorHAnsi"/>
          <w:sz w:val="24"/>
          <w:szCs w:val="24"/>
        </w:rPr>
        <w:t>rioritizing prevention</w:t>
      </w:r>
      <w:r w:rsidR="00BE7188">
        <w:rPr>
          <w:rFonts w:cstheme="minorHAnsi"/>
          <w:sz w:val="24"/>
          <w:szCs w:val="24"/>
        </w:rPr>
        <w:t xml:space="preserve"> assistance,</w:t>
      </w:r>
      <w:r w:rsidR="00BE7188" w:rsidRPr="000D3AB3">
        <w:rPr>
          <w:rFonts w:cstheme="minorHAnsi"/>
          <w:sz w:val="24"/>
          <w:szCs w:val="24"/>
        </w:rPr>
        <w:t xml:space="preserve"> </w:t>
      </w:r>
      <w:r w:rsidR="00BE7188">
        <w:rPr>
          <w:rFonts w:cstheme="minorHAnsi"/>
          <w:sz w:val="24"/>
          <w:szCs w:val="24"/>
        </w:rPr>
        <w:t xml:space="preserve">and </w:t>
      </w:r>
      <w:r w:rsidR="00BE7188" w:rsidRPr="00C035A2">
        <w:rPr>
          <w:rFonts w:cstheme="minorHAnsi"/>
          <w:sz w:val="24"/>
          <w:szCs w:val="24"/>
        </w:rPr>
        <w:t>partner</w:t>
      </w:r>
      <w:r w:rsidR="00BE7188">
        <w:rPr>
          <w:rFonts w:cstheme="minorHAnsi"/>
          <w:sz w:val="24"/>
          <w:szCs w:val="24"/>
        </w:rPr>
        <w:t xml:space="preserve">ing this relief </w:t>
      </w:r>
      <w:r w:rsidR="00BE7188" w:rsidRPr="00C035A2">
        <w:rPr>
          <w:rFonts w:cstheme="minorHAnsi"/>
          <w:sz w:val="24"/>
          <w:szCs w:val="24"/>
        </w:rPr>
        <w:t>with rapid rehousing</w:t>
      </w:r>
      <w:r w:rsidR="00BE7188">
        <w:rPr>
          <w:rFonts w:cstheme="minorHAnsi"/>
          <w:sz w:val="24"/>
          <w:szCs w:val="24"/>
        </w:rPr>
        <w:t xml:space="preserve"> assistance, provides a dual approach that is expected to substantially</w:t>
      </w:r>
      <w:r w:rsidR="00BE7188" w:rsidRPr="00C035A2">
        <w:rPr>
          <w:rFonts w:cstheme="minorHAnsi"/>
          <w:sz w:val="24"/>
          <w:szCs w:val="24"/>
        </w:rPr>
        <w:t xml:space="preserve"> reduce the demand on other </w:t>
      </w:r>
      <w:r w:rsidR="00BE7188">
        <w:rPr>
          <w:rFonts w:cstheme="minorHAnsi"/>
          <w:sz w:val="24"/>
          <w:szCs w:val="24"/>
        </w:rPr>
        <w:t xml:space="preserve">homeless assistance and housing </w:t>
      </w:r>
      <w:r w:rsidR="00BE7188" w:rsidRPr="00C035A2">
        <w:rPr>
          <w:rFonts w:cstheme="minorHAnsi"/>
          <w:sz w:val="24"/>
          <w:szCs w:val="24"/>
        </w:rPr>
        <w:t>project types</w:t>
      </w:r>
      <w:r w:rsidR="00BE7188">
        <w:rPr>
          <w:rFonts w:cstheme="minorHAnsi"/>
          <w:sz w:val="24"/>
          <w:szCs w:val="24"/>
        </w:rPr>
        <w:t>, including emergency shelter.</w:t>
      </w:r>
      <w:r w:rsidR="00BE7188" w:rsidRPr="00C035A2">
        <w:rPr>
          <w:rFonts w:cstheme="minorHAnsi"/>
          <w:sz w:val="24"/>
          <w:szCs w:val="24"/>
        </w:rPr>
        <w:t xml:space="preserve"> </w:t>
      </w:r>
    </w:p>
    <w:p w14:paraId="787F37A7" w14:textId="77777777" w:rsidR="00AA37F8" w:rsidRPr="00C035A2" w:rsidRDefault="00AA37F8" w:rsidP="00AA37F8">
      <w:pPr>
        <w:spacing w:after="0" w:line="276" w:lineRule="auto"/>
        <w:ind w:firstLine="720"/>
        <w:rPr>
          <w:rFonts w:cstheme="minorHAnsi"/>
          <w:sz w:val="24"/>
          <w:szCs w:val="24"/>
        </w:rPr>
      </w:pPr>
    </w:p>
    <w:p w14:paraId="7021FB97" w14:textId="3F0B3B88" w:rsidR="00BE7188" w:rsidRDefault="00BE7188" w:rsidP="00AA37F8">
      <w:pPr>
        <w:spacing w:after="0" w:line="276" w:lineRule="auto"/>
        <w:ind w:firstLine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Our state is</w:t>
      </w:r>
      <w:r w:rsidRPr="00C035A2">
        <w:rPr>
          <w:rFonts w:cstheme="minorHAnsi"/>
          <w:sz w:val="24"/>
          <w:szCs w:val="24"/>
        </w:rPr>
        <w:t xml:space="preserve"> likely to see a</w:t>
      </w:r>
      <w:r>
        <w:rPr>
          <w:rFonts w:cstheme="minorHAnsi"/>
          <w:sz w:val="24"/>
          <w:szCs w:val="24"/>
        </w:rPr>
        <w:t>n increase of Iowans</w:t>
      </w:r>
      <w:r w:rsidRPr="00C035A2">
        <w:rPr>
          <w:rFonts w:cstheme="minorHAnsi"/>
          <w:sz w:val="24"/>
          <w:szCs w:val="24"/>
        </w:rPr>
        <w:t xml:space="preserve"> sleeping in places not meant for human habitation</w:t>
      </w:r>
      <w:r>
        <w:rPr>
          <w:rFonts w:cstheme="minorHAnsi"/>
          <w:sz w:val="24"/>
          <w:szCs w:val="24"/>
        </w:rPr>
        <w:t xml:space="preserve"> and entering emergency shelter, based on observations </w:t>
      </w:r>
      <w:r w:rsidRPr="00C035A2">
        <w:rPr>
          <w:rFonts w:cstheme="minorHAnsi"/>
          <w:sz w:val="24"/>
          <w:szCs w:val="24"/>
        </w:rPr>
        <w:t>following the American Recovery and Reinvestment Act of 2009.</w:t>
      </w:r>
      <w:r>
        <w:rPr>
          <w:rFonts w:cstheme="minorHAnsi"/>
          <w:sz w:val="24"/>
          <w:szCs w:val="24"/>
        </w:rPr>
        <w:t xml:space="preserve"> I</w:t>
      </w:r>
      <w:r w:rsidRPr="00C035A2">
        <w:rPr>
          <w:rFonts w:cstheme="minorHAnsi"/>
          <w:sz w:val="24"/>
          <w:szCs w:val="24"/>
        </w:rPr>
        <w:t xml:space="preserve">t is strongly recommended that rapid rehousing agencies </w:t>
      </w:r>
      <w:r>
        <w:rPr>
          <w:rFonts w:cstheme="minorHAnsi"/>
          <w:sz w:val="24"/>
          <w:szCs w:val="24"/>
        </w:rPr>
        <w:t xml:space="preserve">be encouraged to also </w:t>
      </w:r>
      <w:r w:rsidRPr="00C035A2">
        <w:rPr>
          <w:rFonts w:cstheme="minorHAnsi"/>
          <w:sz w:val="24"/>
          <w:szCs w:val="24"/>
        </w:rPr>
        <w:t xml:space="preserve">apply for prevention </w:t>
      </w:r>
      <w:r>
        <w:rPr>
          <w:rFonts w:cstheme="minorHAnsi"/>
          <w:sz w:val="24"/>
          <w:szCs w:val="24"/>
        </w:rPr>
        <w:t>funding</w:t>
      </w:r>
      <w:r w:rsidRPr="00C035A2">
        <w:rPr>
          <w:rFonts w:cstheme="minorHAnsi"/>
          <w:sz w:val="24"/>
          <w:szCs w:val="24"/>
        </w:rPr>
        <w:t xml:space="preserve">. </w:t>
      </w:r>
      <w:r>
        <w:rPr>
          <w:rFonts w:cstheme="minorHAnsi"/>
          <w:sz w:val="24"/>
          <w:szCs w:val="24"/>
        </w:rPr>
        <w:t>Recommended allocation between prevention and rapid re-housing is calculated by county and aggregated by coordinated entry region</w:t>
      </w:r>
      <w:r w:rsidR="000F6F81">
        <w:rPr>
          <w:rFonts w:cstheme="minorHAnsi"/>
          <w:sz w:val="24"/>
          <w:szCs w:val="24"/>
        </w:rPr>
        <w:t xml:space="preserve"> (table 2)</w:t>
      </w:r>
      <w:r>
        <w:rPr>
          <w:rFonts w:cstheme="minorHAnsi"/>
          <w:sz w:val="24"/>
          <w:szCs w:val="24"/>
        </w:rPr>
        <w:t xml:space="preserve"> using </w:t>
      </w:r>
      <w:r w:rsidRPr="00C035A2">
        <w:rPr>
          <w:rFonts w:cstheme="minorHAnsi"/>
          <w:sz w:val="24"/>
          <w:szCs w:val="24"/>
        </w:rPr>
        <w:t>labor force and unemployment statistics from Iowa’s Workforce Development office</w:t>
      </w:r>
      <w:r>
        <w:rPr>
          <w:rFonts w:cstheme="minorHAnsi"/>
          <w:sz w:val="24"/>
          <w:szCs w:val="24"/>
        </w:rPr>
        <w:t>, as well as Comprehensive Housing Affordability Study (</w:t>
      </w:r>
      <w:r w:rsidRPr="00C035A2">
        <w:rPr>
          <w:rFonts w:cstheme="minorHAnsi"/>
          <w:sz w:val="24"/>
          <w:szCs w:val="24"/>
        </w:rPr>
        <w:t>CHAS</w:t>
      </w:r>
      <w:r>
        <w:rPr>
          <w:rFonts w:cstheme="minorHAnsi"/>
          <w:sz w:val="24"/>
          <w:szCs w:val="24"/>
        </w:rPr>
        <w:t>)</w:t>
      </w:r>
      <w:r w:rsidRPr="00C035A2">
        <w:rPr>
          <w:rFonts w:cstheme="minorHAnsi"/>
          <w:sz w:val="24"/>
          <w:szCs w:val="24"/>
        </w:rPr>
        <w:t xml:space="preserve"> data</w:t>
      </w:r>
      <w:r>
        <w:rPr>
          <w:rFonts w:cstheme="minorHAnsi"/>
          <w:sz w:val="24"/>
          <w:szCs w:val="24"/>
        </w:rPr>
        <w:t xml:space="preserve"> from </w:t>
      </w:r>
      <w:r w:rsidRPr="00C035A2">
        <w:rPr>
          <w:rFonts w:cstheme="minorHAnsi"/>
          <w:sz w:val="24"/>
          <w:szCs w:val="24"/>
        </w:rPr>
        <w:t>August 5, 2019, to identify the portion of the population in each county that is spending more than half the household income on either mortgages or rents</w:t>
      </w:r>
      <w:r>
        <w:rPr>
          <w:rFonts w:cstheme="minorHAnsi"/>
          <w:sz w:val="24"/>
          <w:szCs w:val="24"/>
        </w:rPr>
        <w:t xml:space="preserve"> with a </w:t>
      </w:r>
      <w:r w:rsidRPr="00C035A2">
        <w:rPr>
          <w:rFonts w:cstheme="minorHAnsi"/>
          <w:sz w:val="24"/>
          <w:szCs w:val="24"/>
        </w:rPr>
        <w:t>household income below 50% of the area median household income. We have previously demonstrate</w:t>
      </w:r>
      <w:r>
        <w:rPr>
          <w:rFonts w:cstheme="minorHAnsi"/>
          <w:sz w:val="24"/>
          <w:szCs w:val="24"/>
        </w:rPr>
        <w:t>d</w:t>
      </w:r>
      <w:r w:rsidRPr="00C035A2">
        <w:rPr>
          <w:rFonts w:cstheme="minorHAnsi"/>
          <w:sz w:val="24"/>
          <w:szCs w:val="24"/>
        </w:rPr>
        <w:t xml:space="preserve"> </w:t>
      </w:r>
      <w:r w:rsidRPr="00C035A2">
        <w:rPr>
          <w:rFonts w:cstheme="minorHAnsi"/>
          <w:sz w:val="24"/>
          <w:szCs w:val="24"/>
        </w:rPr>
        <w:lastRenderedPageBreak/>
        <w:t>that the population in this condition is highly predictive of where people experiencing homelessness in Iowa are likely to come from.</w:t>
      </w:r>
    </w:p>
    <w:p w14:paraId="09E03702" w14:textId="45CADD2E" w:rsidR="00704EAE" w:rsidRDefault="007E3F67" w:rsidP="00AA37F8">
      <w:pPr>
        <w:spacing w:after="0" w:line="276" w:lineRule="auto"/>
        <w:ind w:firstLine="720"/>
        <w:rPr>
          <w:noProof/>
        </w:rPr>
      </w:pPr>
      <w:r w:rsidRPr="00EF6B15">
        <w:rPr>
          <w:sz w:val="24"/>
          <w:szCs w:val="24"/>
        </w:rPr>
        <w:t>To manage the relationship between the Balance of State (BOS) Emergency Services Grant (ESG) and the presence of recipients in other continua of care,</w:t>
      </w:r>
      <w:r w:rsidR="007F0BA4">
        <w:rPr>
          <w:sz w:val="24"/>
          <w:szCs w:val="24"/>
        </w:rPr>
        <w:t xml:space="preserve"> with independent ESG allocations,</w:t>
      </w:r>
      <w:r w:rsidRPr="00EF6B15">
        <w:rPr>
          <w:sz w:val="24"/>
          <w:szCs w:val="24"/>
        </w:rPr>
        <w:t xml:space="preserve"> an original calculation was done to determine the amounts that would be provided for each coordinated entry region given equitable distribution of the funds</w:t>
      </w:r>
      <w:r w:rsidR="007F0BA4">
        <w:rPr>
          <w:sz w:val="24"/>
          <w:szCs w:val="24"/>
        </w:rPr>
        <w:t>,</w:t>
      </w:r>
      <w:r w:rsidRPr="00EF6B15">
        <w:rPr>
          <w:sz w:val="24"/>
          <w:szCs w:val="24"/>
        </w:rPr>
        <w:t xml:space="preserve"> </w:t>
      </w:r>
      <w:r w:rsidR="007F0BA4">
        <w:rPr>
          <w:sz w:val="24"/>
          <w:szCs w:val="24"/>
        </w:rPr>
        <w:t xml:space="preserve">had </w:t>
      </w:r>
      <w:r w:rsidRPr="00EF6B15">
        <w:rPr>
          <w:sz w:val="24"/>
          <w:szCs w:val="24"/>
        </w:rPr>
        <w:t>the entire amount awarded to the three continua</w:t>
      </w:r>
      <w:r w:rsidR="007F0BA4">
        <w:rPr>
          <w:sz w:val="24"/>
          <w:szCs w:val="24"/>
        </w:rPr>
        <w:t>,</w:t>
      </w:r>
      <w:r w:rsidRPr="00EF6B15">
        <w:rPr>
          <w:sz w:val="24"/>
          <w:szCs w:val="24"/>
        </w:rPr>
        <w:t xml:space="preserve"> and distributed to prevention and rapid rehousing</w:t>
      </w:r>
      <w:r w:rsidR="007F0BA4">
        <w:rPr>
          <w:sz w:val="24"/>
          <w:szCs w:val="24"/>
        </w:rPr>
        <w:t>,</w:t>
      </w:r>
      <w:r w:rsidRPr="00EF6B15">
        <w:rPr>
          <w:sz w:val="24"/>
          <w:szCs w:val="24"/>
        </w:rPr>
        <w:t xml:space="preserve"> </w:t>
      </w:r>
      <w:r w:rsidR="007F0BA4">
        <w:rPr>
          <w:sz w:val="24"/>
          <w:szCs w:val="24"/>
        </w:rPr>
        <w:t xml:space="preserve">been </w:t>
      </w:r>
      <w:r w:rsidRPr="00EF6B15">
        <w:rPr>
          <w:sz w:val="24"/>
          <w:szCs w:val="24"/>
        </w:rPr>
        <w:t xml:space="preserve">distributed across the state </w:t>
      </w:r>
      <w:r w:rsidR="007F0BA4">
        <w:rPr>
          <w:sz w:val="24"/>
          <w:szCs w:val="24"/>
        </w:rPr>
        <w:t xml:space="preserve">as a whole </w:t>
      </w:r>
      <w:r w:rsidRPr="00EF6B15">
        <w:rPr>
          <w:sz w:val="24"/>
          <w:szCs w:val="24"/>
        </w:rPr>
        <w:t xml:space="preserve">according to the factors outlined. Then the amount already awarded to each continuum apart from the balance of state was removed from its </w:t>
      </w:r>
      <w:r w:rsidR="007F0BA4">
        <w:rPr>
          <w:sz w:val="24"/>
          <w:szCs w:val="24"/>
        </w:rPr>
        <w:t xml:space="preserve">need-based </w:t>
      </w:r>
      <w:r w:rsidRPr="00EF6B15">
        <w:rPr>
          <w:sz w:val="24"/>
          <w:szCs w:val="24"/>
        </w:rPr>
        <w:t>allocation</w:t>
      </w:r>
      <w:r w:rsidR="007F0BA4">
        <w:rPr>
          <w:sz w:val="24"/>
          <w:szCs w:val="24"/>
        </w:rPr>
        <w:t>,</w:t>
      </w:r>
      <w:r w:rsidRPr="00EF6B15">
        <w:rPr>
          <w:sz w:val="24"/>
          <w:szCs w:val="24"/>
        </w:rPr>
        <w:t xml:space="preserve"> and the amount </w:t>
      </w:r>
      <w:r w:rsidR="007F0BA4">
        <w:rPr>
          <w:sz w:val="24"/>
          <w:szCs w:val="24"/>
        </w:rPr>
        <w:t xml:space="preserve">necessary </w:t>
      </w:r>
      <w:r w:rsidRPr="00EF6B15">
        <w:rPr>
          <w:sz w:val="24"/>
          <w:szCs w:val="24"/>
        </w:rPr>
        <w:t>to make that continuum whole was allocated from BOS ESG CARES funding.</w:t>
      </w:r>
      <w:r w:rsidR="00EF6B15" w:rsidRPr="00EF6B15">
        <w:rPr>
          <w:sz w:val="24"/>
          <w:szCs w:val="24"/>
        </w:rPr>
        <w:t xml:space="preserve"> </w:t>
      </w:r>
      <w:r w:rsidR="00FB0CBF" w:rsidRPr="00EF6B15">
        <w:rPr>
          <w:sz w:val="24"/>
          <w:szCs w:val="24"/>
        </w:rPr>
        <w:t xml:space="preserve">Per </w:t>
      </w:r>
      <w:r w:rsidR="00EF6B15" w:rsidRPr="00EF6B15">
        <w:rPr>
          <w:sz w:val="24"/>
          <w:szCs w:val="24"/>
        </w:rPr>
        <w:t xml:space="preserve">those </w:t>
      </w:r>
      <w:r w:rsidR="00FB0CBF" w:rsidRPr="00EF6B15">
        <w:rPr>
          <w:sz w:val="24"/>
          <w:szCs w:val="24"/>
        </w:rPr>
        <w:t xml:space="preserve">calculations, Woodbury’s continuum of care allocation is </w:t>
      </w:r>
      <w:proofErr w:type="gramStart"/>
      <w:r w:rsidR="00FB0CBF" w:rsidRPr="00EF6B15">
        <w:rPr>
          <w:sz w:val="24"/>
          <w:szCs w:val="24"/>
        </w:rPr>
        <w:t>in excess of</w:t>
      </w:r>
      <w:proofErr w:type="gramEnd"/>
      <w:r w:rsidR="00FB0CBF" w:rsidRPr="00EF6B15">
        <w:rPr>
          <w:sz w:val="24"/>
          <w:szCs w:val="24"/>
        </w:rPr>
        <w:t xml:space="preserve"> sufficient to their projected need, and so their Balance of State allocation was reduced to the allocation floor in both prevention and rapid rehousing.</w:t>
      </w:r>
      <w:r w:rsidR="007F0BA4">
        <w:rPr>
          <w:sz w:val="24"/>
          <w:szCs w:val="24"/>
        </w:rPr>
        <w:t xml:space="preserve"> Polk County showed excess need beyond their independent ESG award.</w:t>
      </w:r>
      <w:r w:rsidR="00704EAE" w:rsidRPr="00704EAE">
        <w:rPr>
          <w:noProof/>
        </w:rPr>
        <w:t xml:space="preserve"> </w:t>
      </w:r>
    </w:p>
    <w:bookmarkEnd w:id="0"/>
    <w:p w14:paraId="7E77BA1F" w14:textId="77777777" w:rsidR="000F6F81" w:rsidRDefault="000F6F81" w:rsidP="000F6F81">
      <w:pPr>
        <w:pStyle w:val="Caption"/>
        <w:keepNext/>
        <w:spacing w:after="0" w:line="276" w:lineRule="auto"/>
      </w:pPr>
    </w:p>
    <w:p w14:paraId="6F59C5FB" w14:textId="4A7B7D03" w:rsidR="00704EAE" w:rsidRDefault="00704EAE" w:rsidP="000F6F81">
      <w:pPr>
        <w:pStyle w:val="Caption"/>
        <w:keepNext/>
        <w:spacing w:after="0" w:line="276" w:lineRule="auto"/>
      </w:pPr>
      <w:r>
        <w:t>Table 2</w:t>
      </w:r>
    </w:p>
    <w:tbl>
      <w:tblPr>
        <w:tblStyle w:val="PlainTable5"/>
        <w:tblW w:w="5001" w:type="pct"/>
        <w:tblLook w:val="04E0" w:firstRow="1" w:lastRow="1" w:firstColumn="1" w:lastColumn="0" w:noHBand="0" w:noVBand="1"/>
      </w:tblPr>
      <w:tblGrid>
        <w:gridCol w:w="2578"/>
        <w:gridCol w:w="1497"/>
        <w:gridCol w:w="571"/>
        <w:gridCol w:w="1965"/>
        <w:gridCol w:w="2751"/>
      </w:tblGrid>
      <w:tr w:rsidR="001C4AE3" w:rsidRPr="005D4861" w14:paraId="2EEC7BC4" w14:textId="77777777" w:rsidTr="001C4AE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408" w:type="pct"/>
            <w:vMerge w:val="restart"/>
            <w:noWrap/>
            <w:vAlign w:val="bottom"/>
            <w:hideMark/>
          </w:tcPr>
          <w:p w14:paraId="36763DBC" w14:textId="77777777" w:rsidR="0080171F" w:rsidRPr="005D4861" w:rsidRDefault="0080171F" w:rsidP="000F6F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</w:rPr>
            </w:pPr>
            <w:bookmarkStart w:id="2" w:name="_Hlk40360856"/>
            <w:r w:rsidRPr="005D4861">
              <w:rPr>
                <w:rFonts w:ascii="Times New Roman" w:eastAsia="Times New Roman" w:hAnsi="Times New Roman" w:cs="Times New Roman"/>
                <w:sz w:val="22"/>
              </w:rPr>
              <w:t>Continuum of Care</w:t>
            </w:r>
          </w:p>
          <w:p w14:paraId="43E0F6B9" w14:textId="712B2B50" w:rsidR="0080171F" w:rsidRPr="005D4861" w:rsidRDefault="0080171F" w:rsidP="000F6F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5D4861">
              <w:rPr>
                <w:rFonts w:ascii="Times New Roman" w:eastAsia="Times New Roman" w:hAnsi="Times New Roman" w:cs="Times New Roman"/>
                <w:sz w:val="22"/>
              </w:rPr>
              <w:t>Region</w:t>
            </w:r>
          </w:p>
        </w:tc>
        <w:tc>
          <w:tcPr>
            <w:tcW w:w="849" w:type="pct"/>
            <w:vMerge w:val="restart"/>
            <w:tcBorders>
              <w:bottom w:val="single" w:sz="4" w:space="0" w:color="auto"/>
            </w:tcBorders>
            <w:vAlign w:val="bottom"/>
            <w:hideMark/>
          </w:tcPr>
          <w:p w14:paraId="2865EF2D" w14:textId="77777777" w:rsidR="0080171F" w:rsidRPr="005D4861" w:rsidRDefault="0080171F" w:rsidP="000F6F81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D4861">
              <w:rPr>
                <w:rFonts w:ascii="Calibri" w:eastAsia="Times New Roman" w:hAnsi="Calibri" w:cs="Calibri"/>
                <w:color w:val="000000"/>
                <w:sz w:val="22"/>
              </w:rPr>
              <w:t>Total</w:t>
            </w:r>
          </w:p>
        </w:tc>
        <w:tc>
          <w:tcPr>
            <w:tcW w:w="386" w:type="pct"/>
            <w:vMerge w:val="restart"/>
            <w:noWrap/>
            <w:hideMark/>
          </w:tcPr>
          <w:p w14:paraId="69954E43" w14:textId="77777777" w:rsidR="0080171F" w:rsidRPr="005D4861" w:rsidRDefault="0080171F" w:rsidP="000F6F81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2356" w:type="pct"/>
            <w:gridSpan w:val="2"/>
            <w:noWrap/>
            <w:vAlign w:val="bottom"/>
            <w:hideMark/>
          </w:tcPr>
          <w:p w14:paraId="1FE85408" w14:textId="5D537F90" w:rsidR="0080171F" w:rsidRPr="005D4861" w:rsidRDefault="005D4861" w:rsidP="000F6F81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</w:rPr>
              <w:t>R</w:t>
            </w:r>
            <w:r w:rsidR="0080171F" w:rsidRPr="005D4861">
              <w:rPr>
                <w:rFonts w:ascii="Calibri" w:eastAsia="Times New Roman" w:hAnsi="Calibri" w:cs="Calibri"/>
                <w:color w:val="000000"/>
                <w:sz w:val="22"/>
              </w:rPr>
              <w:t xml:space="preserve">ecommended </w:t>
            </w:r>
            <w:r>
              <w:rPr>
                <w:rFonts w:ascii="Calibri" w:eastAsia="Times New Roman" w:hAnsi="Calibri" w:cs="Calibri"/>
                <w:color w:val="000000"/>
                <w:sz w:val="22"/>
              </w:rPr>
              <w:t>D</w:t>
            </w:r>
            <w:r w:rsidR="0080171F" w:rsidRPr="005D4861">
              <w:rPr>
                <w:rFonts w:ascii="Calibri" w:eastAsia="Times New Roman" w:hAnsi="Calibri" w:cs="Calibri"/>
                <w:color w:val="000000"/>
                <w:sz w:val="22"/>
              </w:rPr>
              <w:t xml:space="preserve">istribution </w:t>
            </w:r>
            <w:r>
              <w:rPr>
                <w:rFonts w:ascii="Calibri" w:eastAsia="Times New Roman" w:hAnsi="Calibri" w:cs="Calibri"/>
                <w:color w:val="000000"/>
                <w:sz w:val="22"/>
              </w:rPr>
              <w:t>W</w:t>
            </w:r>
            <w:r w:rsidR="0080171F" w:rsidRPr="005D4861">
              <w:rPr>
                <w:rFonts w:ascii="Calibri" w:eastAsia="Times New Roman" w:hAnsi="Calibri" w:cs="Calibri"/>
                <w:color w:val="000000"/>
                <w:sz w:val="22"/>
              </w:rPr>
              <w:t xml:space="preserve">ithin the COC </w:t>
            </w:r>
            <w:r>
              <w:rPr>
                <w:rFonts w:ascii="Calibri" w:eastAsia="Times New Roman" w:hAnsi="Calibri" w:cs="Calibri"/>
                <w:color w:val="000000"/>
                <w:sz w:val="22"/>
              </w:rPr>
              <w:t>R</w:t>
            </w:r>
            <w:r w:rsidR="0080171F" w:rsidRPr="005D4861">
              <w:rPr>
                <w:rFonts w:ascii="Calibri" w:eastAsia="Times New Roman" w:hAnsi="Calibri" w:cs="Calibri"/>
                <w:color w:val="000000"/>
                <w:sz w:val="22"/>
              </w:rPr>
              <w:t>egion</w:t>
            </w:r>
          </w:p>
        </w:tc>
      </w:tr>
      <w:tr w:rsidR="001C4AE3" w:rsidRPr="005D4861" w14:paraId="3F112FA6" w14:textId="77777777" w:rsidTr="001C4A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8" w:type="pct"/>
            <w:vMerge/>
            <w:hideMark/>
          </w:tcPr>
          <w:p w14:paraId="4154E545" w14:textId="77777777" w:rsidR="0080171F" w:rsidRPr="005D4861" w:rsidRDefault="0080171F" w:rsidP="000F6F81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849" w:type="pct"/>
            <w:vMerge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70EC6473" w14:textId="77777777" w:rsidR="0080171F" w:rsidRPr="005D4861" w:rsidRDefault="0080171F" w:rsidP="000F6F8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i/>
                <w:iCs/>
                <w:color w:val="000000"/>
              </w:rPr>
            </w:pPr>
          </w:p>
        </w:tc>
        <w:tc>
          <w:tcPr>
            <w:tcW w:w="386" w:type="pct"/>
            <w:vMerge/>
            <w:hideMark/>
          </w:tcPr>
          <w:p w14:paraId="37D68E8F" w14:textId="77777777" w:rsidR="0080171F" w:rsidRPr="005D4861" w:rsidRDefault="0080171F" w:rsidP="000F6F8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i/>
                <w:iCs/>
                <w:color w:val="000000"/>
              </w:rPr>
            </w:pPr>
          </w:p>
        </w:tc>
        <w:tc>
          <w:tcPr>
            <w:tcW w:w="982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D27C450" w14:textId="77777777" w:rsidR="0080171F" w:rsidRPr="005D4861" w:rsidRDefault="0080171F" w:rsidP="000F6F81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5D4861">
              <w:rPr>
                <w:rFonts w:ascii="Calibri" w:eastAsia="Times New Roman" w:hAnsi="Calibri" w:cs="Calibri"/>
                <w:i/>
                <w:iCs/>
                <w:color w:val="000000"/>
              </w:rPr>
              <w:t>Prevention</w:t>
            </w:r>
          </w:p>
        </w:tc>
        <w:tc>
          <w:tcPr>
            <w:tcW w:w="1375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30C07" w14:textId="77777777" w:rsidR="0080171F" w:rsidRPr="005D4861" w:rsidRDefault="0080171F" w:rsidP="000F6F81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5D4861">
              <w:rPr>
                <w:rFonts w:ascii="Calibri" w:eastAsia="Times New Roman" w:hAnsi="Calibri" w:cs="Calibri"/>
                <w:i/>
                <w:iCs/>
                <w:color w:val="000000"/>
              </w:rPr>
              <w:t>Rapid Rehousing</w:t>
            </w:r>
          </w:p>
        </w:tc>
      </w:tr>
      <w:tr w:rsidR="001C4AE3" w:rsidRPr="005D4861" w14:paraId="3D187D34" w14:textId="77777777" w:rsidTr="001C4AE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8" w:type="pct"/>
            <w:tcBorders>
              <w:top w:val="single" w:sz="4" w:space="0" w:color="auto"/>
            </w:tcBorders>
            <w:noWrap/>
            <w:hideMark/>
          </w:tcPr>
          <w:p w14:paraId="115DDB9C" w14:textId="77777777" w:rsidR="0080171F" w:rsidRPr="005D4861" w:rsidRDefault="0080171F" w:rsidP="000F6F81">
            <w:pPr>
              <w:spacing w:line="276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D4861">
              <w:rPr>
                <w:rFonts w:ascii="Calibri" w:eastAsia="Times New Roman" w:hAnsi="Calibri" w:cs="Calibri"/>
                <w:color w:val="000000"/>
                <w:sz w:val="22"/>
              </w:rPr>
              <w:t>Woodbury</w:t>
            </w:r>
          </w:p>
        </w:tc>
        <w:tc>
          <w:tcPr>
            <w:tcW w:w="849" w:type="pct"/>
            <w:tcBorders>
              <w:top w:val="single" w:sz="4" w:space="0" w:color="auto"/>
            </w:tcBorders>
            <w:noWrap/>
            <w:hideMark/>
          </w:tcPr>
          <w:p w14:paraId="58BE9D27" w14:textId="77777777" w:rsidR="0080171F" w:rsidRPr="005D4861" w:rsidRDefault="0080171F" w:rsidP="000F6F81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5D4861">
              <w:rPr>
                <w:rFonts w:ascii="Calibri" w:eastAsia="Times New Roman" w:hAnsi="Calibri" w:cs="Calibri"/>
                <w:color w:val="000000"/>
              </w:rPr>
              <w:t>$63,531.49</w:t>
            </w:r>
          </w:p>
        </w:tc>
        <w:tc>
          <w:tcPr>
            <w:tcW w:w="386" w:type="pct"/>
            <w:tcBorders>
              <w:top w:val="single" w:sz="4" w:space="0" w:color="auto"/>
            </w:tcBorders>
            <w:noWrap/>
            <w:vAlign w:val="center"/>
            <w:hideMark/>
          </w:tcPr>
          <w:p w14:paraId="239FC4D3" w14:textId="6E8F3C6A" w:rsidR="0080171F" w:rsidRPr="005D4861" w:rsidRDefault="0080171F" w:rsidP="000F6F8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5D4861">
              <w:rPr>
                <w:rFonts w:ascii="Calibri" w:eastAsia="Times New Roman" w:hAnsi="Calibri" w:cs="Calibri"/>
                <w:color w:val="000000"/>
              </w:rPr>
              <w:t>-</w:t>
            </w:r>
            <w:r w:rsidR="00803EA7" w:rsidRPr="005D4861">
              <w:rPr>
                <w:rFonts w:ascii="Calibri" w:eastAsia="Times New Roman" w:hAnsi="Calibri" w:cs="Calibri"/>
                <w:color w:val="000000"/>
              </w:rPr>
              <w:t>--</w:t>
            </w:r>
          </w:p>
        </w:tc>
        <w:tc>
          <w:tcPr>
            <w:tcW w:w="982" w:type="pct"/>
            <w:tcBorders>
              <w:top w:val="single" w:sz="4" w:space="0" w:color="auto"/>
            </w:tcBorders>
            <w:noWrap/>
            <w:hideMark/>
          </w:tcPr>
          <w:p w14:paraId="434E9C75" w14:textId="77777777" w:rsidR="0080171F" w:rsidRPr="005D4861" w:rsidRDefault="0080171F" w:rsidP="000F6F8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5D4861">
              <w:rPr>
                <w:rFonts w:ascii="Calibri" w:eastAsia="Times New Roman" w:hAnsi="Calibri" w:cs="Calibri"/>
                <w:color w:val="000000"/>
              </w:rPr>
              <w:t>32.0%</w:t>
            </w:r>
          </w:p>
        </w:tc>
        <w:tc>
          <w:tcPr>
            <w:tcW w:w="1375" w:type="pct"/>
            <w:tcBorders>
              <w:top w:val="single" w:sz="4" w:space="0" w:color="auto"/>
            </w:tcBorders>
            <w:noWrap/>
            <w:hideMark/>
          </w:tcPr>
          <w:p w14:paraId="39D50B1F" w14:textId="77777777" w:rsidR="0080171F" w:rsidRPr="005D4861" w:rsidRDefault="0080171F" w:rsidP="000F6F8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5D4861">
              <w:rPr>
                <w:rFonts w:ascii="Calibri" w:eastAsia="Times New Roman" w:hAnsi="Calibri" w:cs="Calibri"/>
                <w:color w:val="000000"/>
              </w:rPr>
              <w:t>68.0%</w:t>
            </w:r>
          </w:p>
        </w:tc>
      </w:tr>
      <w:tr w:rsidR="001C4AE3" w:rsidRPr="005D4861" w14:paraId="0381C723" w14:textId="77777777" w:rsidTr="001C4A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8" w:type="pct"/>
            <w:noWrap/>
            <w:hideMark/>
          </w:tcPr>
          <w:p w14:paraId="6F87FEAB" w14:textId="77777777" w:rsidR="0080171F" w:rsidRPr="005D4861" w:rsidRDefault="0080171F" w:rsidP="000F6F81">
            <w:pPr>
              <w:spacing w:line="276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D4861">
              <w:rPr>
                <w:rFonts w:ascii="Calibri" w:eastAsia="Times New Roman" w:hAnsi="Calibri" w:cs="Calibri"/>
                <w:color w:val="000000"/>
                <w:sz w:val="22"/>
              </w:rPr>
              <w:t>Balance of Counties West</w:t>
            </w:r>
          </w:p>
        </w:tc>
        <w:tc>
          <w:tcPr>
            <w:tcW w:w="849" w:type="pct"/>
            <w:noWrap/>
            <w:hideMark/>
          </w:tcPr>
          <w:p w14:paraId="4F41CA99" w14:textId="77777777" w:rsidR="0080171F" w:rsidRPr="005D4861" w:rsidRDefault="0080171F" w:rsidP="000F6F81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5D4861">
              <w:rPr>
                <w:rFonts w:ascii="Calibri" w:eastAsia="Times New Roman" w:hAnsi="Calibri" w:cs="Calibri"/>
                <w:color w:val="000000"/>
              </w:rPr>
              <w:t>$118,856.42</w:t>
            </w:r>
          </w:p>
        </w:tc>
        <w:tc>
          <w:tcPr>
            <w:tcW w:w="386" w:type="pct"/>
            <w:noWrap/>
            <w:vAlign w:val="center"/>
            <w:hideMark/>
          </w:tcPr>
          <w:p w14:paraId="2A063FC0" w14:textId="35023C60" w:rsidR="0080171F" w:rsidRPr="005D4861" w:rsidRDefault="0080171F" w:rsidP="000F6F81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5D4861">
              <w:rPr>
                <w:rFonts w:ascii="Calibri" w:eastAsia="Times New Roman" w:hAnsi="Calibri" w:cs="Calibri"/>
                <w:color w:val="000000"/>
              </w:rPr>
              <w:t>-</w:t>
            </w:r>
            <w:r w:rsidR="00803EA7" w:rsidRPr="005D4861">
              <w:rPr>
                <w:rFonts w:ascii="Calibri" w:eastAsia="Times New Roman" w:hAnsi="Calibri" w:cs="Calibri"/>
                <w:color w:val="000000"/>
              </w:rPr>
              <w:t>--</w:t>
            </w:r>
          </w:p>
        </w:tc>
        <w:tc>
          <w:tcPr>
            <w:tcW w:w="982" w:type="pct"/>
            <w:noWrap/>
            <w:hideMark/>
          </w:tcPr>
          <w:p w14:paraId="4CC87F5E" w14:textId="77777777" w:rsidR="0080171F" w:rsidRPr="005D4861" w:rsidRDefault="0080171F" w:rsidP="000F6F81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5D4861">
              <w:rPr>
                <w:rFonts w:ascii="Calibri" w:eastAsia="Times New Roman" w:hAnsi="Calibri" w:cs="Calibri"/>
                <w:color w:val="000000"/>
              </w:rPr>
              <w:t>67.5%</w:t>
            </w:r>
          </w:p>
        </w:tc>
        <w:tc>
          <w:tcPr>
            <w:tcW w:w="1375" w:type="pct"/>
            <w:noWrap/>
            <w:hideMark/>
          </w:tcPr>
          <w:p w14:paraId="42CB1217" w14:textId="77777777" w:rsidR="0080171F" w:rsidRPr="005D4861" w:rsidRDefault="0080171F" w:rsidP="000F6F81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5D4861">
              <w:rPr>
                <w:rFonts w:ascii="Calibri" w:eastAsia="Times New Roman" w:hAnsi="Calibri" w:cs="Calibri"/>
                <w:color w:val="000000"/>
              </w:rPr>
              <w:t>32.5%</w:t>
            </w:r>
          </w:p>
        </w:tc>
      </w:tr>
      <w:tr w:rsidR="001C4AE3" w:rsidRPr="005D4861" w14:paraId="7E38B414" w14:textId="77777777" w:rsidTr="001C4AE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8" w:type="pct"/>
            <w:noWrap/>
            <w:hideMark/>
          </w:tcPr>
          <w:p w14:paraId="24C147D5" w14:textId="77777777" w:rsidR="0080171F" w:rsidRPr="005D4861" w:rsidRDefault="0080171F" w:rsidP="000F6F81">
            <w:pPr>
              <w:spacing w:line="276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D4861">
              <w:rPr>
                <w:rFonts w:ascii="Calibri" w:eastAsia="Times New Roman" w:hAnsi="Calibri" w:cs="Calibri"/>
                <w:color w:val="000000"/>
                <w:sz w:val="22"/>
              </w:rPr>
              <w:t>Northwest Iowa</w:t>
            </w:r>
          </w:p>
        </w:tc>
        <w:tc>
          <w:tcPr>
            <w:tcW w:w="849" w:type="pct"/>
            <w:noWrap/>
            <w:hideMark/>
          </w:tcPr>
          <w:p w14:paraId="25ED801C" w14:textId="77777777" w:rsidR="0080171F" w:rsidRPr="005D4861" w:rsidRDefault="0080171F" w:rsidP="000F6F81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5D4861">
              <w:rPr>
                <w:rFonts w:ascii="Calibri" w:eastAsia="Times New Roman" w:hAnsi="Calibri" w:cs="Calibri"/>
                <w:color w:val="000000"/>
              </w:rPr>
              <w:t>$207,493.60</w:t>
            </w:r>
          </w:p>
        </w:tc>
        <w:tc>
          <w:tcPr>
            <w:tcW w:w="386" w:type="pct"/>
            <w:noWrap/>
            <w:vAlign w:val="center"/>
            <w:hideMark/>
          </w:tcPr>
          <w:p w14:paraId="235881D3" w14:textId="06221BC1" w:rsidR="0080171F" w:rsidRPr="005D4861" w:rsidRDefault="0080171F" w:rsidP="000F6F8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5D4861">
              <w:rPr>
                <w:rFonts w:ascii="Calibri" w:eastAsia="Times New Roman" w:hAnsi="Calibri" w:cs="Calibri"/>
                <w:color w:val="000000"/>
              </w:rPr>
              <w:t>-</w:t>
            </w:r>
            <w:r w:rsidR="00803EA7" w:rsidRPr="005D4861">
              <w:rPr>
                <w:rFonts w:ascii="Calibri" w:eastAsia="Times New Roman" w:hAnsi="Calibri" w:cs="Calibri"/>
                <w:color w:val="000000"/>
              </w:rPr>
              <w:t>--</w:t>
            </w:r>
          </w:p>
        </w:tc>
        <w:tc>
          <w:tcPr>
            <w:tcW w:w="982" w:type="pct"/>
            <w:noWrap/>
            <w:hideMark/>
          </w:tcPr>
          <w:p w14:paraId="1579325A" w14:textId="77777777" w:rsidR="0080171F" w:rsidRPr="005D4861" w:rsidRDefault="0080171F" w:rsidP="000F6F8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5D4861">
              <w:rPr>
                <w:rFonts w:ascii="Calibri" w:eastAsia="Times New Roman" w:hAnsi="Calibri" w:cs="Calibri"/>
                <w:color w:val="000000"/>
              </w:rPr>
              <w:t>61.5%</w:t>
            </w:r>
          </w:p>
        </w:tc>
        <w:tc>
          <w:tcPr>
            <w:tcW w:w="1375" w:type="pct"/>
            <w:noWrap/>
            <w:hideMark/>
          </w:tcPr>
          <w:p w14:paraId="658D7119" w14:textId="77777777" w:rsidR="0080171F" w:rsidRPr="005D4861" w:rsidRDefault="0080171F" w:rsidP="000F6F8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5D4861">
              <w:rPr>
                <w:rFonts w:ascii="Calibri" w:eastAsia="Times New Roman" w:hAnsi="Calibri" w:cs="Calibri"/>
                <w:color w:val="000000"/>
              </w:rPr>
              <w:t>38.5%</w:t>
            </w:r>
          </w:p>
        </w:tc>
      </w:tr>
      <w:tr w:rsidR="001C4AE3" w:rsidRPr="005D4861" w14:paraId="2EB9B0DB" w14:textId="77777777" w:rsidTr="001C4A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8" w:type="pct"/>
            <w:noWrap/>
            <w:hideMark/>
          </w:tcPr>
          <w:p w14:paraId="606167F6" w14:textId="77777777" w:rsidR="0080171F" w:rsidRPr="005D4861" w:rsidRDefault="0080171F" w:rsidP="000F6F81">
            <w:pPr>
              <w:spacing w:line="276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D4861">
              <w:rPr>
                <w:rFonts w:ascii="Calibri" w:eastAsia="Times New Roman" w:hAnsi="Calibri" w:cs="Calibri"/>
                <w:color w:val="000000"/>
                <w:sz w:val="22"/>
              </w:rPr>
              <w:t>Upper Des Moines</w:t>
            </w:r>
          </w:p>
        </w:tc>
        <w:tc>
          <w:tcPr>
            <w:tcW w:w="849" w:type="pct"/>
            <w:noWrap/>
            <w:hideMark/>
          </w:tcPr>
          <w:p w14:paraId="13DE3C96" w14:textId="77777777" w:rsidR="0080171F" w:rsidRPr="005D4861" w:rsidRDefault="0080171F" w:rsidP="000F6F81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5D4861">
              <w:rPr>
                <w:rFonts w:ascii="Calibri" w:eastAsia="Times New Roman" w:hAnsi="Calibri" w:cs="Calibri"/>
                <w:color w:val="000000"/>
              </w:rPr>
              <w:t>$241,812.15</w:t>
            </w:r>
          </w:p>
        </w:tc>
        <w:tc>
          <w:tcPr>
            <w:tcW w:w="386" w:type="pct"/>
            <w:noWrap/>
            <w:vAlign w:val="center"/>
            <w:hideMark/>
          </w:tcPr>
          <w:p w14:paraId="4FC6EF67" w14:textId="4A280D50" w:rsidR="0080171F" w:rsidRPr="005D4861" w:rsidRDefault="0080171F" w:rsidP="000F6F81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5D4861">
              <w:rPr>
                <w:rFonts w:ascii="Calibri" w:eastAsia="Times New Roman" w:hAnsi="Calibri" w:cs="Calibri"/>
                <w:color w:val="000000"/>
              </w:rPr>
              <w:t>-</w:t>
            </w:r>
            <w:r w:rsidR="00803EA7" w:rsidRPr="005D4861">
              <w:rPr>
                <w:rFonts w:ascii="Calibri" w:eastAsia="Times New Roman" w:hAnsi="Calibri" w:cs="Calibri"/>
                <w:color w:val="000000"/>
              </w:rPr>
              <w:t>--</w:t>
            </w:r>
          </w:p>
        </w:tc>
        <w:tc>
          <w:tcPr>
            <w:tcW w:w="982" w:type="pct"/>
            <w:noWrap/>
            <w:hideMark/>
          </w:tcPr>
          <w:p w14:paraId="1DDB2301" w14:textId="77777777" w:rsidR="0080171F" w:rsidRPr="005D4861" w:rsidRDefault="0080171F" w:rsidP="000F6F81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5D4861">
              <w:rPr>
                <w:rFonts w:ascii="Calibri" w:eastAsia="Times New Roman" w:hAnsi="Calibri" w:cs="Calibri"/>
                <w:color w:val="000000"/>
              </w:rPr>
              <w:t>61.7%</w:t>
            </w:r>
          </w:p>
        </w:tc>
        <w:tc>
          <w:tcPr>
            <w:tcW w:w="1375" w:type="pct"/>
            <w:noWrap/>
            <w:hideMark/>
          </w:tcPr>
          <w:p w14:paraId="7ADA9601" w14:textId="77777777" w:rsidR="0080171F" w:rsidRPr="005D4861" w:rsidRDefault="0080171F" w:rsidP="000F6F81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5D4861">
              <w:rPr>
                <w:rFonts w:ascii="Calibri" w:eastAsia="Times New Roman" w:hAnsi="Calibri" w:cs="Calibri"/>
                <w:color w:val="000000"/>
              </w:rPr>
              <w:t>38.3%</w:t>
            </w:r>
          </w:p>
        </w:tc>
      </w:tr>
      <w:tr w:rsidR="001C4AE3" w:rsidRPr="005D4861" w14:paraId="3EB046A5" w14:textId="77777777" w:rsidTr="001C4AE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8" w:type="pct"/>
            <w:noWrap/>
            <w:hideMark/>
          </w:tcPr>
          <w:p w14:paraId="24C28B37" w14:textId="77777777" w:rsidR="0080171F" w:rsidRPr="005D4861" w:rsidRDefault="0080171F" w:rsidP="000F6F81">
            <w:pPr>
              <w:spacing w:line="276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D4861">
              <w:rPr>
                <w:rFonts w:ascii="Calibri" w:eastAsia="Times New Roman" w:hAnsi="Calibri" w:cs="Calibri"/>
                <w:color w:val="000000"/>
                <w:sz w:val="22"/>
              </w:rPr>
              <w:t>Pottawattamie</w:t>
            </w:r>
          </w:p>
        </w:tc>
        <w:tc>
          <w:tcPr>
            <w:tcW w:w="849" w:type="pct"/>
            <w:noWrap/>
            <w:hideMark/>
          </w:tcPr>
          <w:p w14:paraId="566385A9" w14:textId="77777777" w:rsidR="0080171F" w:rsidRPr="005D4861" w:rsidRDefault="0080171F" w:rsidP="000F6F81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5D4861">
              <w:rPr>
                <w:rFonts w:ascii="Calibri" w:eastAsia="Times New Roman" w:hAnsi="Calibri" w:cs="Calibri"/>
                <w:color w:val="000000"/>
              </w:rPr>
              <w:t>$249,746.49</w:t>
            </w:r>
          </w:p>
        </w:tc>
        <w:tc>
          <w:tcPr>
            <w:tcW w:w="386" w:type="pct"/>
            <w:noWrap/>
            <w:vAlign w:val="center"/>
            <w:hideMark/>
          </w:tcPr>
          <w:p w14:paraId="430B8594" w14:textId="20CDC50D" w:rsidR="0080171F" w:rsidRPr="005D4861" w:rsidRDefault="0080171F" w:rsidP="000F6F8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5D4861">
              <w:rPr>
                <w:rFonts w:ascii="Calibri" w:eastAsia="Times New Roman" w:hAnsi="Calibri" w:cs="Calibri"/>
                <w:color w:val="000000"/>
              </w:rPr>
              <w:t>-</w:t>
            </w:r>
            <w:r w:rsidR="00803EA7" w:rsidRPr="005D4861">
              <w:rPr>
                <w:rFonts w:ascii="Calibri" w:eastAsia="Times New Roman" w:hAnsi="Calibri" w:cs="Calibri"/>
                <w:color w:val="000000"/>
              </w:rPr>
              <w:t>--</w:t>
            </w:r>
          </w:p>
        </w:tc>
        <w:tc>
          <w:tcPr>
            <w:tcW w:w="982" w:type="pct"/>
            <w:noWrap/>
            <w:hideMark/>
          </w:tcPr>
          <w:p w14:paraId="2C1048CC" w14:textId="77777777" w:rsidR="0080171F" w:rsidRPr="005D4861" w:rsidRDefault="0080171F" w:rsidP="000F6F8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5D4861">
              <w:rPr>
                <w:rFonts w:ascii="Calibri" w:eastAsia="Times New Roman" w:hAnsi="Calibri" w:cs="Calibri"/>
                <w:color w:val="000000"/>
              </w:rPr>
              <w:t>40.8%</w:t>
            </w:r>
          </w:p>
        </w:tc>
        <w:tc>
          <w:tcPr>
            <w:tcW w:w="1375" w:type="pct"/>
            <w:noWrap/>
            <w:hideMark/>
          </w:tcPr>
          <w:p w14:paraId="07C57F46" w14:textId="77777777" w:rsidR="0080171F" w:rsidRPr="005D4861" w:rsidRDefault="0080171F" w:rsidP="000F6F8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5D4861">
              <w:rPr>
                <w:rFonts w:ascii="Calibri" w:eastAsia="Times New Roman" w:hAnsi="Calibri" w:cs="Calibri"/>
                <w:color w:val="000000"/>
              </w:rPr>
              <w:t>59.2%</w:t>
            </w:r>
          </w:p>
        </w:tc>
      </w:tr>
      <w:tr w:rsidR="001C4AE3" w:rsidRPr="005D4861" w14:paraId="6D66DE8F" w14:textId="77777777" w:rsidTr="001C4A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8" w:type="pct"/>
            <w:noWrap/>
            <w:hideMark/>
          </w:tcPr>
          <w:p w14:paraId="0B92F3D9" w14:textId="77777777" w:rsidR="0080171F" w:rsidRPr="005D4861" w:rsidRDefault="0080171F" w:rsidP="000F6F81">
            <w:pPr>
              <w:spacing w:line="276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D4861">
              <w:rPr>
                <w:rFonts w:ascii="Calibri" w:eastAsia="Times New Roman" w:hAnsi="Calibri" w:cs="Calibri"/>
                <w:color w:val="000000"/>
                <w:sz w:val="22"/>
              </w:rPr>
              <w:t>North East</w:t>
            </w:r>
          </w:p>
        </w:tc>
        <w:tc>
          <w:tcPr>
            <w:tcW w:w="849" w:type="pct"/>
            <w:noWrap/>
            <w:hideMark/>
          </w:tcPr>
          <w:p w14:paraId="1FA17F63" w14:textId="77777777" w:rsidR="0080171F" w:rsidRPr="005D4861" w:rsidRDefault="0080171F" w:rsidP="000F6F81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5D4861">
              <w:rPr>
                <w:rFonts w:ascii="Calibri" w:eastAsia="Times New Roman" w:hAnsi="Calibri" w:cs="Calibri"/>
                <w:color w:val="000000"/>
              </w:rPr>
              <w:t>$279,520.94</w:t>
            </w:r>
          </w:p>
        </w:tc>
        <w:tc>
          <w:tcPr>
            <w:tcW w:w="386" w:type="pct"/>
            <w:noWrap/>
            <w:vAlign w:val="center"/>
            <w:hideMark/>
          </w:tcPr>
          <w:p w14:paraId="11A0AB3F" w14:textId="43396F21" w:rsidR="0080171F" w:rsidRPr="005D4861" w:rsidRDefault="0080171F" w:rsidP="000F6F81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5D4861">
              <w:rPr>
                <w:rFonts w:ascii="Calibri" w:eastAsia="Times New Roman" w:hAnsi="Calibri" w:cs="Calibri"/>
                <w:color w:val="000000"/>
              </w:rPr>
              <w:t>-</w:t>
            </w:r>
            <w:r w:rsidR="00803EA7" w:rsidRPr="005D4861">
              <w:rPr>
                <w:rFonts w:ascii="Calibri" w:eastAsia="Times New Roman" w:hAnsi="Calibri" w:cs="Calibri"/>
                <w:color w:val="000000"/>
              </w:rPr>
              <w:t>--</w:t>
            </w:r>
          </w:p>
        </w:tc>
        <w:tc>
          <w:tcPr>
            <w:tcW w:w="982" w:type="pct"/>
            <w:noWrap/>
            <w:hideMark/>
          </w:tcPr>
          <w:p w14:paraId="5BD63ECA" w14:textId="77777777" w:rsidR="0080171F" w:rsidRPr="005D4861" w:rsidRDefault="0080171F" w:rsidP="000F6F81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5D4861">
              <w:rPr>
                <w:rFonts w:ascii="Calibri" w:eastAsia="Times New Roman" w:hAnsi="Calibri" w:cs="Calibri"/>
                <w:color w:val="000000"/>
              </w:rPr>
              <w:t>62.9%</w:t>
            </w:r>
          </w:p>
        </w:tc>
        <w:tc>
          <w:tcPr>
            <w:tcW w:w="1375" w:type="pct"/>
            <w:noWrap/>
            <w:hideMark/>
          </w:tcPr>
          <w:p w14:paraId="4533C059" w14:textId="77777777" w:rsidR="0080171F" w:rsidRPr="005D4861" w:rsidRDefault="0080171F" w:rsidP="000F6F81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5D4861">
              <w:rPr>
                <w:rFonts w:ascii="Calibri" w:eastAsia="Times New Roman" w:hAnsi="Calibri" w:cs="Calibri"/>
                <w:color w:val="000000"/>
              </w:rPr>
              <w:t>37.1%</w:t>
            </w:r>
          </w:p>
        </w:tc>
      </w:tr>
      <w:tr w:rsidR="001C4AE3" w:rsidRPr="005D4861" w14:paraId="5F74AF9D" w14:textId="77777777" w:rsidTr="001C4AE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8" w:type="pct"/>
            <w:noWrap/>
            <w:hideMark/>
          </w:tcPr>
          <w:p w14:paraId="1E75180D" w14:textId="77777777" w:rsidR="0080171F" w:rsidRPr="005D4861" w:rsidRDefault="0080171F" w:rsidP="000F6F81">
            <w:pPr>
              <w:spacing w:line="276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D4861">
              <w:rPr>
                <w:rFonts w:ascii="Calibri" w:eastAsia="Times New Roman" w:hAnsi="Calibri" w:cs="Calibri"/>
                <w:color w:val="000000"/>
                <w:sz w:val="22"/>
              </w:rPr>
              <w:t>Two Rivers</w:t>
            </w:r>
          </w:p>
        </w:tc>
        <w:tc>
          <w:tcPr>
            <w:tcW w:w="849" w:type="pct"/>
            <w:noWrap/>
            <w:hideMark/>
          </w:tcPr>
          <w:p w14:paraId="0D286731" w14:textId="77777777" w:rsidR="0080171F" w:rsidRPr="005D4861" w:rsidRDefault="0080171F" w:rsidP="000F6F81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5D4861">
              <w:rPr>
                <w:rFonts w:ascii="Calibri" w:eastAsia="Times New Roman" w:hAnsi="Calibri" w:cs="Calibri"/>
                <w:color w:val="000000"/>
              </w:rPr>
              <w:t>$295,913.63</w:t>
            </w:r>
          </w:p>
        </w:tc>
        <w:tc>
          <w:tcPr>
            <w:tcW w:w="386" w:type="pct"/>
            <w:noWrap/>
            <w:vAlign w:val="center"/>
            <w:hideMark/>
          </w:tcPr>
          <w:p w14:paraId="620B8CAE" w14:textId="165D2AD8" w:rsidR="0080171F" w:rsidRPr="005D4861" w:rsidRDefault="0080171F" w:rsidP="000F6F8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5D4861">
              <w:rPr>
                <w:rFonts w:ascii="Calibri" w:eastAsia="Times New Roman" w:hAnsi="Calibri" w:cs="Calibri"/>
                <w:color w:val="000000"/>
              </w:rPr>
              <w:t>-</w:t>
            </w:r>
            <w:r w:rsidR="00803EA7" w:rsidRPr="005D4861">
              <w:rPr>
                <w:rFonts w:ascii="Calibri" w:eastAsia="Times New Roman" w:hAnsi="Calibri" w:cs="Calibri"/>
                <w:color w:val="000000"/>
              </w:rPr>
              <w:t>--</w:t>
            </w:r>
          </w:p>
        </w:tc>
        <w:tc>
          <w:tcPr>
            <w:tcW w:w="982" w:type="pct"/>
            <w:noWrap/>
            <w:hideMark/>
          </w:tcPr>
          <w:p w14:paraId="7020CCCB" w14:textId="77777777" w:rsidR="0080171F" w:rsidRPr="005D4861" w:rsidRDefault="0080171F" w:rsidP="000F6F8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5D4861">
              <w:rPr>
                <w:rFonts w:ascii="Calibri" w:eastAsia="Times New Roman" w:hAnsi="Calibri" w:cs="Calibri"/>
                <w:color w:val="000000"/>
              </w:rPr>
              <w:t>70.5%</w:t>
            </w:r>
          </w:p>
        </w:tc>
        <w:tc>
          <w:tcPr>
            <w:tcW w:w="1375" w:type="pct"/>
            <w:noWrap/>
            <w:hideMark/>
          </w:tcPr>
          <w:p w14:paraId="355D82EE" w14:textId="77777777" w:rsidR="0080171F" w:rsidRPr="005D4861" w:rsidRDefault="0080171F" w:rsidP="000F6F8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5D4861">
              <w:rPr>
                <w:rFonts w:ascii="Calibri" w:eastAsia="Times New Roman" w:hAnsi="Calibri" w:cs="Calibri"/>
                <w:color w:val="000000"/>
              </w:rPr>
              <w:t>29.5%</w:t>
            </w:r>
          </w:p>
        </w:tc>
      </w:tr>
      <w:tr w:rsidR="001C4AE3" w:rsidRPr="005D4861" w14:paraId="56F60F7E" w14:textId="77777777" w:rsidTr="001C4A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8" w:type="pct"/>
            <w:noWrap/>
            <w:hideMark/>
          </w:tcPr>
          <w:p w14:paraId="1A81FAFF" w14:textId="77777777" w:rsidR="0080171F" w:rsidRPr="005D4861" w:rsidRDefault="0080171F" w:rsidP="000F6F81">
            <w:pPr>
              <w:spacing w:line="276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D4861">
              <w:rPr>
                <w:rFonts w:ascii="Calibri" w:eastAsia="Times New Roman" w:hAnsi="Calibri" w:cs="Calibri"/>
                <w:color w:val="000000"/>
                <w:sz w:val="22"/>
              </w:rPr>
              <w:t>Balance of Counties East</w:t>
            </w:r>
          </w:p>
        </w:tc>
        <w:tc>
          <w:tcPr>
            <w:tcW w:w="849" w:type="pct"/>
            <w:noWrap/>
            <w:hideMark/>
          </w:tcPr>
          <w:p w14:paraId="0786BDC4" w14:textId="77777777" w:rsidR="0080171F" w:rsidRPr="005D4861" w:rsidRDefault="0080171F" w:rsidP="000F6F81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5D4861">
              <w:rPr>
                <w:rFonts w:ascii="Calibri" w:eastAsia="Times New Roman" w:hAnsi="Calibri" w:cs="Calibri"/>
                <w:color w:val="000000"/>
              </w:rPr>
              <w:t>$347,841.23</w:t>
            </w:r>
          </w:p>
        </w:tc>
        <w:tc>
          <w:tcPr>
            <w:tcW w:w="386" w:type="pct"/>
            <w:noWrap/>
            <w:vAlign w:val="center"/>
            <w:hideMark/>
          </w:tcPr>
          <w:p w14:paraId="572AB35C" w14:textId="592FB1B9" w:rsidR="0080171F" w:rsidRPr="005D4861" w:rsidRDefault="0080171F" w:rsidP="000F6F81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5D4861">
              <w:rPr>
                <w:rFonts w:ascii="Calibri" w:eastAsia="Times New Roman" w:hAnsi="Calibri" w:cs="Calibri"/>
                <w:color w:val="000000"/>
              </w:rPr>
              <w:t>-</w:t>
            </w:r>
            <w:r w:rsidR="00803EA7" w:rsidRPr="005D4861">
              <w:rPr>
                <w:rFonts w:ascii="Calibri" w:eastAsia="Times New Roman" w:hAnsi="Calibri" w:cs="Calibri"/>
                <w:color w:val="000000"/>
              </w:rPr>
              <w:t>--</w:t>
            </w:r>
          </w:p>
        </w:tc>
        <w:tc>
          <w:tcPr>
            <w:tcW w:w="982" w:type="pct"/>
            <w:noWrap/>
            <w:hideMark/>
          </w:tcPr>
          <w:p w14:paraId="1C2FC23E" w14:textId="77777777" w:rsidR="0080171F" w:rsidRPr="005D4861" w:rsidRDefault="0080171F" w:rsidP="000F6F81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5D4861">
              <w:rPr>
                <w:rFonts w:ascii="Calibri" w:eastAsia="Times New Roman" w:hAnsi="Calibri" w:cs="Calibri"/>
                <w:color w:val="000000"/>
              </w:rPr>
              <w:t>89.4%</w:t>
            </w:r>
          </w:p>
        </w:tc>
        <w:tc>
          <w:tcPr>
            <w:tcW w:w="1375" w:type="pct"/>
            <w:noWrap/>
            <w:hideMark/>
          </w:tcPr>
          <w:p w14:paraId="6F3B74A0" w14:textId="77777777" w:rsidR="0080171F" w:rsidRPr="005D4861" w:rsidRDefault="0080171F" w:rsidP="000F6F81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5D4861">
              <w:rPr>
                <w:rFonts w:ascii="Calibri" w:eastAsia="Times New Roman" w:hAnsi="Calibri" w:cs="Calibri"/>
                <w:color w:val="000000"/>
              </w:rPr>
              <w:t>10.6%</w:t>
            </w:r>
          </w:p>
        </w:tc>
      </w:tr>
      <w:tr w:rsidR="001C4AE3" w:rsidRPr="005D4861" w14:paraId="6A7DE2C5" w14:textId="77777777" w:rsidTr="001C4AE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8" w:type="pct"/>
            <w:noWrap/>
            <w:hideMark/>
          </w:tcPr>
          <w:p w14:paraId="38BD27DF" w14:textId="77777777" w:rsidR="0080171F" w:rsidRPr="005D4861" w:rsidRDefault="0080171F" w:rsidP="000F6F81">
            <w:pPr>
              <w:spacing w:line="276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D4861">
              <w:rPr>
                <w:rFonts w:ascii="Calibri" w:eastAsia="Times New Roman" w:hAnsi="Calibri" w:cs="Calibri"/>
                <w:color w:val="000000"/>
                <w:sz w:val="22"/>
              </w:rPr>
              <w:t>Black Hawk/</w:t>
            </w:r>
            <w:proofErr w:type="spellStart"/>
            <w:r w:rsidRPr="005D4861">
              <w:rPr>
                <w:rFonts w:ascii="Calibri" w:eastAsia="Times New Roman" w:hAnsi="Calibri" w:cs="Calibri"/>
                <w:color w:val="000000"/>
                <w:sz w:val="22"/>
              </w:rPr>
              <w:t>Tama</w:t>
            </w:r>
            <w:proofErr w:type="spellEnd"/>
            <w:r w:rsidRPr="005D4861">
              <w:rPr>
                <w:rFonts w:ascii="Calibri" w:eastAsia="Times New Roman" w:hAnsi="Calibri" w:cs="Calibri"/>
                <w:color w:val="000000"/>
                <w:sz w:val="22"/>
              </w:rPr>
              <w:t>/Grundy</w:t>
            </w:r>
          </w:p>
        </w:tc>
        <w:tc>
          <w:tcPr>
            <w:tcW w:w="849" w:type="pct"/>
            <w:noWrap/>
            <w:hideMark/>
          </w:tcPr>
          <w:p w14:paraId="4BAF5A59" w14:textId="77777777" w:rsidR="0080171F" w:rsidRPr="005D4861" w:rsidRDefault="0080171F" w:rsidP="000F6F81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5D4861">
              <w:rPr>
                <w:rFonts w:ascii="Calibri" w:eastAsia="Times New Roman" w:hAnsi="Calibri" w:cs="Calibri"/>
                <w:color w:val="000000"/>
              </w:rPr>
              <w:t>$348,292.14</w:t>
            </w:r>
          </w:p>
        </w:tc>
        <w:tc>
          <w:tcPr>
            <w:tcW w:w="386" w:type="pct"/>
            <w:noWrap/>
            <w:vAlign w:val="center"/>
            <w:hideMark/>
          </w:tcPr>
          <w:p w14:paraId="2129D4FC" w14:textId="4989405C" w:rsidR="0080171F" w:rsidRPr="005D4861" w:rsidRDefault="0080171F" w:rsidP="000F6F8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5D4861">
              <w:rPr>
                <w:rFonts w:ascii="Calibri" w:eastAsia="Times New Roman" w:hAnsi="Calibri" w:cs="Calibri"/>
                <w:color w:val="000000"/>
              </w:rPr>
              <w:t>-</w:t>
            </w:r>
            <w:r w:rsidR="00803EA7" w:rsidRPr="005D4861">
              <w:rPr>
                <w:rFonts w:ascii="Calibri" w:eastAsia="Times New Roman" w:hAnsi="Calibri" w:cs="Calibri"/>
                <w:color w:val="000000"/>
              </w:rPr>
              <w:t>--</w:t>
            </w:r>
          </w:p>
        </w:tc>
        <w:tc>
          <w:tcPr>
            <w:tcW w:w="982" w:type="pct"/>
            <w:noWrap/>
            <w:hideMark/>
          </w:tcPr>
          <w:p w14:paraId="5CDC9A6B" w14:textId="77777777" w:rsidR="0080171F" w:rsidRPr="005D4861" w:rsidRDefault="0080171F" w:rsidP="000F6F8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5D4861">
              <w:rPr>
                <w:rFonts w:ascii="Calibri" w:eastAsia="Times New Roman" w:hAnsi="Calibri" w:cs="Calibri"/>
                <w:color w:val="000000"/>
              </w:rPr>
              <w:t>66.6%</w:t>
            </w:r>
          </w:p>
        </w:tc>
        <w:tc>
          <w:tcPr>
            <w:tcW w:w="1375" w:type="pct"/>
            <w:noWrap/>
            <w:hideMark/>
          </w:tcPr>
          <w:p w14:paraId="161CD0AB" w14:textId="77777777" w:rsidR="0080171F" w:rsidRPr="005D4861" w:rsidRDefault="0080171F" w:rsidP="000F6F8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5D4861">
              <w:rPr>
                <w:rFonts w:ascii="Calibri" w:eastAsia="Times New Roman" w:hAnsi="Calibri" w:cs="Calibri"/>
                <w:color w:val="000000"/>
              </w:rPr>
              <w:t>33.4%</w:t>
            </w:r>
          </w:p>
        </w:tc>
      </w:tr>
      <w:tr w:rsidR="001C4AE3" w:rsidRPr="005D4861" w14:paraId="30825AC9" w14:textId="77777777" w:rsidTr="001C4A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8" w:type="pct"/>
            <w:noWrap/>
            <w:hideMark/>
          </w:tcPr>
          <w:p w14:paraId="7A7197AC" w14:textId="77777777" w:rsidR="0080171F" w:rsidRPr="005D4861" w:rsidRDefault="0080171F" w:rsidP="000F6F81">
            <w:pPr>
              <w:spacing w:line="276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D4861">
              <w:rPr>
                <w:rFonts w:ascii="Calibri" w:eastAsia="Times New Roman" w:hAnsi="Calibri" w:cs="Calibri"/>
                <w:color w:val="000000"/>
                <w:sz w:val="22"/>
              </w:rPr>
              <w:t>South Central/West</w:t>
            </w:r>
          </w:p>
        </w:tc>
        <w:tc>
          <w:tcPr>
            <w:tcW w:w="849" w:type="pct"/>
            <w:noWrap/>
            <w:hideMark/>
          </w:tcPr>
          <w:p w14:paraId="72D4A834" w14:textId="77777777" w:rsidR="0080171F" w:rsidRPr="005D4861" w:rsidRDefault="0080171F" w:rsidP="000F6F81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5D4861">
              <w:rPr>
                <w:rFonts w:ascii="Calibri" w:eastAsia="Times New Roman" w:hAnsi="Calibri" w:cs="Calibri"/>
                <w:color w:val="000000"/>
              </w:rPr>
              <w:t>$374,563.40</w:t>
            </w:r>
          </w:p>
        </w:tc>
        <w:tc>
          <w:tcPr>
            <w:tcW w:w="386" w:type="pct"/>
            <w:noWrap/>
            <w:vAlign w:val="center"/>
            <w:hideMark/>
          </w:tcPr>
          <w:p w14:paraId="6345C382" w14:textId="3886582F" w:rsidR="0080171F" w:rsidRPr="005D4861" w:rsidRDefault="0080171F" w:rsidP="000F6F81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5D4861">
              <w:rPr>
                <w:rFonts w:ascii="Calibri" w:eastAsia="Times New Roman" w:hAnsi="Calibri" w:cs="Calibri"/>
                <w:color w:val="000000"/>
              </w:rPr>
              <w:t>-</w:t>
            </w:r>
            <w:r w:rsidR="00803EA7" w:rsidRPr="005D4861">
              <w:rPr>
                <w:rFonts w:ascii="Calibri" w:eastAsia="Times New Roman" w:hAnsi="Calibri" w:cs="Calibri"/>
                <w:color w:val="000000"/>
              </w:rPr>
              <w:t>--</w:t>
            </w:r>
          </w:p>
        </w:tc>
        <w:tc>
          <w:tcPr>
            <w:tcW w:w="982" w:type="pct"/>
            <w:noWrap/>
            <w:hideMark/>
          </w:tcPr>
          <w:p w14:paraId="066A2C5E" w14:textId="77777777" w:rsidR="0080171F" w:rsidRPr="005D4861" w:rsidRDefault="0080171F" w:rsidP="000F6F81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5D4861">
              <w:rPr>
                <w:rFonts w:ascii="Calibri" w:eastAsia="Times New Roman" w:hAnsi="Calibri" w:cs="Calibri"/>
                <w:color w:val="000000"/>
              </w:rPr>
              <w:t>44.8%</w:t>
            </w:r>
          </w:p>
        </w:tc>
        <w:tc>
          <w:tcPr>
            <w:tcW w:w="1375" w:type="pct"/>
            <w:noWrap/>
            <w:hideMark/>
          </w:tcPr>
          <w:p w14:paraId="3234D955" w14:textId="77777777" w:rsidR="0080171F" w:rsidRPr="005D4861" w:rsidRDefault="0080171F" w:rsidP="000F6F81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5D4861">
              <w:rPr>
                <w:rFonts w:ascii="Calibri" w:eastAsia="Times New Roman" w:hAnsi="Calibri" w:cs="Calibri"/>
                <w:color w:val="000000"/>
              </w:rPr>
              <w:t>55.2%</w:t>
            </w:r>
          </w:p>
        </w:tc>
      </w:tr>
      <w:tr w:rsidR="001C4AE3" w:rsidRPr="005D4861" w14:paraId="4E5B6A4E" w14:textId="77777777" w:rsidTr="001C4AE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8" w:type="pct"/>
            <w:noWrap/>
            <w:hideMark/>
          </w:tcPr>
          <w:p w14:paraId="13E1A0BF" w14:textId="77777777" w:rsidR="0080171F" w:rsidRPr="005D4861" w:rsidRDefault="0080171F" w:rsidP="000F6F81">
            <w:pPr>
              <w:spacing w:line="276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D4861">
              <w:rPr>
                <w:rFonts w:ascii="Calibri" w:eastAsia="Times New Roman" w:hAnsi="Calibri" w:cs="Calibri"/>
                <w:color w:val="000000"/>
                <w:sz w:val="22"/>
              </w:rPr>
              <w:t>Southeast Iowa</w:t>
            </w:r>
          </w:p>
        </w:tc>
        <w:tc>
          <w:tcPr>
            <w:tcW w:w="849" w:type="pct"/>
            <w:noWrap/>
            <w:hideMark/>
          </w:tcPr>
          <w:p w14:paraId="51E07D0D" w14:textId="77777777" w:rsidR="0080171F" w:rsidRPr="005D4861" w:rsidRDefault="0080171F" w:rsidP="000F6F81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5D4861">
              <w:rPr>
                <w:rFonts w:ascii="Calibri" w:eastAsia="Times New Roman" w:hAnsi="Calibri" w:cs="Calibri"/>
                <w:color w:val="000000"/>
              </w:rPr>
              <w:t>$404,789.68</w:t>
            </w:r>
          </w:p>
        </w:tc>
        <w:tc>
          <w:tcPr>
            <w:tcW w:w="386" w:type="pct"/>
            <w:noWrap/>
            <w:vAlign w:val="center"/>
            <w:hideMark/>
          </w:tcPr>
          <w:p w14:paraId="2C2A485F" w14:textId="1F587BCD" w:rsidR="0080171F" w:rsidRPr="005D4861" w:rsidRDefault="0080171F" w:rsidP="000F6F8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5D4861">
              <w:rPr>
                <w:rFonts w:ascii="Calibri" w:eastAsia="Times New Roman" w:hAnsi="Calibri" w:cs="Calibri"/>
                <w:color w:val="000000"/>
              </w:rPr>
              <w:t>-</w:t>
            </w:r>
            <w:r w:rsidR="00803EA7" w:rsidRPr="005D4861">
              <w:rPr>
                <w:rFonts w:ascii="Calibri" w:eastAsia="Times New Roman" w:hAnsi="Calibri" w:cs="Calibri"/>
                <w:color w:val="000000"/>
              </w:rPr>
              <w:t>--</w:t>
            </w:r>
          </w:p>
        </w:tc>
        <w:tc>
          <w:tcPr>
            <w:tcW w:w="982" w:type="pct"/>
            <w:noWrap/>
            <w:hideMark/>
          </w:tcPr>
          <w:p w14:paraId="6D272685" w14:textId="77777777" w:rsidR="0080171F" w:rsidRPr="005D4861" w:rsidRDefault="0080171F" w:rsidP="000F6F8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5D4861">
              <w:rPr>
                <w:rFonts w:ascii="Calibri" w:eastAsia="Times New Roman" w:hAnsi="Calibri" w:cs="Calibri"/>
                <w:color w:val="000000"/>
              </w:rPr>
              <w:t>57.4%</w:t>
            </w:r>
          </w:p>
        </w:tc>
        <w:tc>
          <w:tcPr>
            <w:tcW w:w="1375" w:type="pct"/>
            <w:noWrap/>
            <w:hideMark/>
          </w:tcPr>
          <w:p w14:paraId="11FDBD7F" w14:textId="77777777" w:rsidR="0080171F" w:rsidRPr="005D4861" w:rsidRDefault="0080171F" w:rsidP="000F6F8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5D4861">
              <w:rPr>
                <w:rFonts w:ascii="Calibri" w:eastAsia="Times New Roman" w:hAnsi="Calibri" w:cs="Calibri"/>
                <w:color w:val="000000"/>
              </w:rPr>
              <w:t>42.6%</w:t>
            </w:r>
          </w:p>
        </w:tc>
      </w:tr>
      <w:tr w:rsidR="001C4AE3" w:rsidRPr="005D4861" w14:paraId="00397778" w14:textId="77777777" w:rsidTr="001C4A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8" w:type="pct"/>
            <w:noWrap/>
            <w:hideMark/>
          </w:tcPr>
          <w:p w14:paraId="240A22E1" w14:textId="77777777" w:rsidR="0080171F" w:rsidRPr="005D4861" w:rsidRDefault="0080171F" w:rsidP="000F6F81">
            <w:pPr>
              <w:spacing w:line="276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D4861">
              <w:rPr>
                <w:rFonts w:ascii="Calibri" w:eastAsia="Times New Roman" w:hAnsi="Calibri" w:cs="Calibri"/>
                <w:color w:val="000000"/>
                <w:sz w:val="22"/>
              </w:rPr>
              <w:t>North Central Iowa</w:t>
            </w:r>
          </w:p>
        </w:tc>
        <w:tc>
          <w:tcPr>
            <w:tcW w:w="849" w:type="pct"/>
            <w:noWrap/>
            <w:hideMark/>
          </w:tcPr>
          <w:p w14:paraId="33E8E4D6" w14:textId="77777777" w:rsidR="0080171F" w:rsidRPr="005D4861" w:rsidRDefault="0080171F" w:rsidP="000F6F81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5D4861">
              <w:rPr>
                <w:rFonts w:ascii="Calibri" w:eastAsia="Times New Roman" w:hAnsi="Calibri" w:cs="Calibri"/>
                <w:color w:val="000000"/>
              </w:rPr>
              <w:t>$433,141.75</w:t>
            </w:r>
          </w:p>
        </w:tc>
        <w:tc>
          <w:tcPr>
            <w:tcW w:w="386" w:type="pct"/>
            <w:noWrap/>
            <w:vAlign w:val="center"/>
            <w:hideMark/>
          </w:tcPr>
          <w:p w14:paraId="089FAA15" w14:textId="21E119C7" w:rsidR="0080171F" w:rsidRPr="005D4861" w:rsidRDefault="0080171F" w:rsidP="000F6F81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5D4861">
              <w:rPr>
                <w:rFonts w:ascii="Calibri" w:eastAsia="Times New Roman" w:hAnsi="Calibri" w:cs="Calibri"/>
                <w:color w:val="000000"/>
              </w:rPr>
              <w:t>-</w:t>
            </w:r>
            <w:r w:rsidR="00803EA7" w:rsidRPr="005D4861">
              <w:rPr>
                <w:rFonts w:ascii="Calibri" w:eastAsia="Times New Roman" w:hAnsi="Calibri" w:cs="Calibri"/>
                <w:color w:val="000000"/>
              </w:rPr>
              <w:t>--</w:t>
            </w:r>
          </w:p>
        </w:tc>
        <w:tc>
          <w:tcPr>
            <w:tcW w:w="982" w:type="pct"/>
            <w:noWrap/>
            <w:hideMark/>
          </w:tcPr>
          <w:p w14:paraId="704C8DEA" w14:textId="77777777" w:rsidR="0080171F" w:rsidRPr="005D4861" w:rsidRDefault="0080171F" w:rsidP="000F6F81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5D4861">
              <w:rPr>
                <w:rFonts w:ascii="Calibri" w:eastAsia="Times New Roman" w:hAnsi="Calibri" w:cs="Calibri"/>
                <w:color w:val="000000"/>
              </w:rPr>
              <w:t>44.1%</w:t>
            </w:r>
          </w:p>
        </w:tc>
        <w:tc>
          <w:tcPr>
            <w:tcW w:w="1375" w:type="pct"/>
            <w:noWrap/>
            <w:hideMark/>
          </w:tcPr>
          <w:p w14:paraId="43ED433E" w14:textId="77777777" w:rsidR="0080171F" w:rsidRPr="005D4861" w:rsidRDefault="0080171F" w:rsidP="000F6F81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5D4861">
              <w:rPr>
                <w:rFonts w:ascii="Calibri" w:eastAsia="Times New Roman" w:hAnsi="Calibri" w:cs="Calibri"/>
                <w:color w:val="000000"/>
              </w:rPr>
              <w:t>55.9%</w:t>
            </w:r>
          </w:p>
        </w:tc>
      </w:tr>
      <w:tr w:rsidR="001C4AE3" w:rsidRPr="005D4861" w14:paraId="1201C361" w14:textId="77777777" w:rsidTr="001C4AE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8" w:type="pct"/>
            <w:noWrap/>
            <w:hideMark/>
          </w:tcPr>
          <w:p w14:paraId="37A8F72F" w14:textId="77777777" w:rsidR="0080171F" w:rsidRPr="005D4861" w:rsidRDefault="0080171F" w:rsidP="000F6F81">
            <w:pPr>
              <w:spacing w:line="276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D4861">
              <w:rPr>
                <w:rFonts w:ascii="Calibri" w:eastAsia="Times New Roman" w:hAnsi="Calibri" w:cs="Calibri"/>
                <w:color w:val="000000"/>
                <w:sz w:val="22"/>
              </w:rPr>
              <w:t>Eastern Iowa</w:t>
            </w:r>
          </w:p>
        </w:tc>
        <w:tc>
          <w:tcPr>
            <w:tcW w:w="849" w:type="pct"/>
            <w:noWrap/>
            <w:hideMark/>
          </w:tcPr>
          <w:p w14:paraId="681F8F94" w14:textId="77777777" w:rsidR="0080171F" w:rsidRPr="005D4861" w:rsidRDefault="0080171F" w:rsidP="000F6F81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5D4861">
              <w:rPr>
                <w:rFonts w:ascii="Calibri" w:eastAsia="Times New Roman" w:hAnsi="Calibri" w:cs="Calibri"/>
                <w:color w:val="000000"/>
              </w:rPr>
              <w:t>$454,314.81</w:t>
            </w:r>
          </w:p>
        </w:tc>
        <w:tc>
          <w:tcPr>
            <w:tcW w:w="386" w:type="pct"/>
            <w:noWrap/>
            <w:vAlign w:val="center"/>
            <w:hideMark/>
          </w:tcPr>
          <w:p w14:paraId="1DD41043" w14:textId="3ADF79FA" w:rsidR="0080171F" w:rsidRPr="005D4861" w:rsidRDefault="0080171F" w:rsidP="000F6F8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5D4861">
              <w:rPr>
                <w:rFonts w:ascii="Calibri" w:eastAsia="Times New Roman" w:hAnsi="Calibri" w:cs="Calibri"/>
                <w:color w:val="000000"/>
              </w:rPr>
              <w:t>-</w:t>
            </w:r>
            <w:r w:rsidR="00803EA7" w:rsidRPr="005D4861">
              <w:rPr>
                <w:rFonts w:ascii="Calibri" w:eastAsia="Times New Roman" w:hAnsi="Calibri" w:cs="Calibri"/>
                <w:color w:val="000000"/>
              </w:rPr>
              <w:t>--</w:t>
            </w:r>
          </w:p>
        </w:tc>
        <w:tc>
          <w:tcPr>
            <w:tcW w:w="982" w:type="pct"/>
            <w:noWrap/>
            <w:hideMark/>
          </w:tcPr>
          <w:p w14:paraId="6B80989A" w14:textId="77777777" w:rsidR="0080171F" w:rsidRPr="005D4861" w:rsidRDefault="0080171F" w:rsidP="000F6F8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5D4861">
              <w:rPr>
                <w:rFonts w:ascii="Calibri" w:eastAsia="Times New Roman" w:hAnsi="Calibri" w:cs="Calibri"/>
                <w:color w:val="000000"/>
              </w:rPr>
              <w:t>56.2%</w:t>
            </w:r>
          </w:p>
        </w:tc>
        <w:tc>
          <w:tcPr>
            <w:tcW w:w="1375" w:type="pct"/>
            <w:noWrap/>
            <w:hideMark/>
          </w:tcPr>
          <w:p w14:paraId="3F6B49FA" w14:textId="77777777" w:rsidR="0080171F" w:rsidRPr="005D4861" w:rsidRDefault="0080171F" w:rsidP="000F6F8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5D4861">
              <w:rPr>
                <w:rFonts w:ascii="Calibri" w:eastAsia="Times New Roman" w:hAnsi="Calibri" w:cs="Calibri"/>
                <w:color w:val="000000"/>
              </w:rPr>
              <w:t>43.8%</w:t>
            </w:r>
          </w:p>
        </w:tc>
      </w:tr>
      <w:tr w:rsidR="001C4AE3" w:rsidRPr="005D4861" w14:paraId="48A01B90" w14:textId="77777777" w:rsidTr="001C4A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8" w:type="pct"/>
            <w:noWrap/>
            <w:hideMark/>
          </w:tcPr>
          <w:p w14:paraId="68B1259F" w14:textId="77777777" w:rsidR="0080171F" w:rsidRPr="005D4861" w:rsidRDefault="0080171F" w:rsidP="000F6F81">
            <w:pPr>
              <w:spacing w:line="276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D4861">
              <w:rPr>
                <w:rFonts w:ascii="Calibri" w:eastAsia="Times New Roman" w:hAnsi="Calibri" w:cs="Calibri"/>
                <w:color w:val="000000"/>
                <w:sz w:val="22"/>
              </w:rPr>
              <w:t>Quad Cities Bi-State</w:t>
            </w:r>
          </w:p>
        </w:tc>
        <w:tc>
          <w:tcPr>
            <w:tcW w:w="849" w:type="pct"/>
            <w:noWrap/>
            <w:hideMark/>
          </w:tcPr>
          <w:p w14:paraId="6EFD263E" w14:textId="77777777" w:rsidR="0080171F" w:rsidRPr="005D4861" w:rsidRDefault="0080171F" w:rsidP="000F6F81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5D4861">
              <w:rPr>
                <w:rFonts w:ascii="Calibri" w:eastAsia="Times New Roman" w:hAnsi="Calibri" w:cs="Calibri"/>
                <w:color w:val="000000"/>
              </w:rPr>
              <w:t>$564,290.68</w:t>
            </w:r>
          </w:p>
        </w:tc>
        <w:tc>
          <w:tcPr>
            <w:tcW w:w="386" w:type="pct"/>
            <w:noWrap/>
            <w:vAlign w:val="center"/>
            <w:hideMark/>
          </w:tcPr>
          <w:p w14:paraId="00B0FE6E" w14:textId="72E4215F" w:rsidR="0080171F" w:rsidRPr="005D4861" w:rsidRDefault="0080171F" w:rsidP="000F6F81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5D4861">
              <w:rPr>
                <w:rFonts w:ascii="Calibri" w:eastAsia="Times New Roman" w:hAnsi="Calibri" w:cs="Calibri"/>
                <w:color w:val="000000"/>
              </w:rPr>
              <w:t>-</w:t>
            </w:r>
            <w:r w:rsidR="00803EA7" w:rsidRPr="005D4861">
              <w:rPr>
                <w:rFonts w:ascii="Calibri" w:eastAsia="Times New Roman" w:hAnsi="Calibri" w:cs="Calibri"/>
                <w:color w:val="000000"/>
              </w:rPr>
              <w:t>--</w:t>
            </w:r>
          </w:p>
        </w:tc>
        <w:tc>
          <w:tcPr>
            <w:tcW w:w="982" w:type="pct"/>
            <w:noWrap/>
            <w:hideMark/>
          </w:tcPr>
          <w:p w14:paraId="211D76A3" w14:textId="77777777" w:rsidR="0080171F" w:rsidRPr="005D4861" w:rsidRDefault="0080171F" w:rsidP="000F6F81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5D4861">
              <w:rPr>
                <w:rFonts w:ascii="Calibri" w:eastAsia="Times New Roman" w:hAnsi="Calibri" w:cs="Calibri"/>
                <w:color w:val="000000"/>
              </w:rPr>
              <w:t>45.6%</w:t>
            </w:r>
          </w:p>
        </w:tc>
        <w:tc>
          <w:tcPr>
            <w:tcW w:w="1375" w:type="pct"/>
            <w:noWrap/>
            <w:hideMark/>
          </w:tcPr>
          <w:p w14:paraId="025D194C" w14:textId="77777777" w:rsidR="0080171F" w:rsidRPr="005D4861" w:rsidRDefault="0080171F" w:rsidP="000F6F81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5D4861">
              <w:rPr>
                <w:rFonts w:ascii="Calibri" w:eastAsia="Times New Roman" w:hAnsi="Calibri" w:cs="Calibri"/>
                <w:color w:val="000000"/>
              </w:rPr>
              <w:t>54.4%</w:t>
            </w:r>
          </w:p>
        </w:tc>
      </w:tr>
      <w:tr w:rsidR="001C4AE3" w:rsidRPr="005D4861" w14:paraId="1F7662B8" w14:textId="77777777" w:rsidTr="001C4AE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8" w:type="pct"/>
            <w:noWrap/>
            <w:hideMark/>
          </w:tcPr>
          <w:p w14:paraId="414E462F" w14:textId="77777777" w:rsidR="0080171F" w:rsidRPr="005D4861" w:rsidRDefault="0080171F" w:rsidP="000F6F81">
            <w:pPr>
              <w:spacing w:line="276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D4861">
              <w:rPr>
                <w:rFonts w:ascii="Calibri" w:eastAsia="Times New Roman" w:hAnsi="Calibri" w:cs="Calibri"/>
                <w:color w:val="000000"/>
                <w:sz w:val="22"/>
              </w:rPr>
              <w:t>Polk County</w:t>
            </w:r>
          </w:p>
        </w:tc>
        <w:tc>
          <w:tcPr>
            <w:tcW w:w="849" w:type="pct"/>
            <w:noWrap/>
            <w:hideMark/>
          </w:tcPr>
          <w:p w14:paraId="72E74A38" w14:textId="77777777" w:rsidR="0080171F" w:rsidRPr="005D4861" w:rsidRDefault="0080171F" w:rsidP="000F6F81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5D4861">
              <w:rPr>
                <w:rFonts w:ascii="Calibri" w:eastAsia="Times New Roman" w:hAnsi="Calibri" w:cs="Calibri"/>
                <w:color w:val="000000"/>
              </w:rPr>
              <w:t>$624,795.19</w:t>
            </w:r>
          </w:p>
        </w:tc>
        <w:tc>
          <w:tcPr>
            <w:tcW w:w="386" w:type="pct"/>
            <w:noWrap/>
            <w:vAlign w:val="center"/>
            <w:hideMark/>
          </w:tcPr>
          <w:p w14:paraId="2E173BAF" w14:textId="3E4AC06B" w:rsidR="0080171F" w:rsidRPr="005D4861" w:rsidRDefault="0080171F" w:rsidP="000F6F8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5D4861">
              <w:rPr>
                <w:rFonts w:ascii="Calibri" w:eastAsia="Times New Roman" w:hAnsi="Calibri" w:cs="Calibri"/>
                <w:color w:val="000000"/>
              </w:rPr>
              <w:t>-</w:t>
            </w:r>
            <w:r w:rsidR="00803EA7" w:rsidRPr="005D4861">
              <w:rPr>
                <w:rFonts w:ascii="Calibri" w:eastAsia="Times New Roman" w:hAnsi="Calibri" w:cs="Calibri"/>
                <w:color w:val="000000"/>
              </w:rPr>
              <w:t>--</w:t>
            </w:r>
          </w:p>
        </w:tc>
        <w:tc>
          <w:tcPr>
            <w:tcW w:w="982" w:type="pct"/>
            <w:noWrap/>
            <w:hideMark/>
          </w:tcPr>
          <w:p w14:paraId="4C596D6F" w14:textId="77777777" w:rsidR="0080171F" w:rsidRPr="005D4861" w:rsidRDefault="0080171F" w:rsidP="000F6F8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5D4861">
              <w:rPr>
                <w:rFonts w:ascii="Calibri" w:eastAsia="Times New Roman" w:hAnsi="Calibri" w:cs="Calibri"/>
                <w:color w:val="000000"/>
              </w:rPr>
              <w:t>47.0%</w:t>
            </w:r>
          </w:p>
        </w:tc>
        <w:tc>
          <w:tcPr>
            <w:tcW w:w="1375" w:type="pct"/>
            <w:noWrap/>
            <w:hideMark/>
          </w:tcPr>
          <w:p w14:paraId="1DC81265" w14:textId="77777777" w:rsidR="0080171F" w:rsidRPr="005D4861" w:rsidRDefault="0080171F" w:rsidP="000F6F8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5D4861">
              <w:rPr>
                <w:rFonts w:ascii="Calibri" w:eastAsia="Times New Roman" w:hAnsi="Calibri" w:cs="Calibri"/>
                <w:color w:val="000000"/>
              </w:rPr>
              <w:t>53.0%</w:t>
            </w:r>
          </w:p>
        </w:tc>
      </w:tr>
      <w:tr w:rsidR="001C4AE3" w:rsidRPr="005D4861" w14:paraId="7F9DE1B1" w14:textId="77777777" w:rsidTr="001C4A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8" w:type="pct"/>
            <w:noWrap/>
            <w:hideMark/>
          </w:tcPr>
          <w:p w14:paraId="1BB5DEE6" w14:textId="77777777" w:rsidR="0080171F" w:rsidRPr="005D4861" w:rsidRDefault="0080171F" w:rsidP="000F6F81">
            <w:pPr>
              <w:spacing w:line="276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D4861">
              <w:rPr>
                <w:rFonts w:ascii="Calibri" w:eastAsia="Times New Roman" w:hAnsi="Calibri" w:cs="Calibri"/>
                <w:color w:val="000000"/>
                <w:sz w:val="22"/>
              </w:rPr>
              <w:t>Johnson/Washington</w:t>
            </w:r>
          </w:p>
        </w:tc>
        <w:tc>
          <w:tcPr>
            <w:tcW w:w="849" w:type="pct"/>
            <w:noWrap/>
            <w:hideMark/>
          </w:tcPr>
          <w:p w14:paraId="2B34DDEB" w14:textId="77777777" w:rsidR="0080171F" w:rsidRPr="005D4861" w:rsidRDefault="0080171F" w:rsidP="000F6F81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5D4861">
              <w:rPr>
                <w:rFonts w:ascii="Calibri" w:eastAsia="Times New Roman" w:hAnsi="Calibri" w:cs="Calibri"/>
                <w:color w:val="000000"/>
              </w:rPr>
              <w:t>$677,074.80</w:t>
            </w:r>
          </w:p>
        </w:tc>
        <w:tc>
          <w:tcPr>
            <w:tcW w:w="386" w:type="pct"/>
            <w:noWrap/>
            <w:vAlign w:val="center"/>
            <w:hideMark/>
          </w:tcPr>
          <w:p w14:paraId="26325B56" w14:textId="175DC963" w:rsidR="0080171F" w:rsidRPr="005D4861" w:rsidRDefault="0080171F" w:rsidP="000F6F81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5D4861">
              <w:rPr>
                <w:rFonts w:ascii="Calibri" w:eastAsia="Times New Roman" w:hAnsi="Calibri" w:cs="Calibri"/>
                <w:color w:val="000000"/>
              </w:rPr>
              <w:t>-</w:t>
            </w:r>
            <w:r w:rsidR="00803EA7" w:rsidRPr="005D4861">
              <w:rPr>
                <w:rFonts w:ascii="Calibri" w:eastAsia="Times New Roman" w:hAnsi="Calibri" w:cs="Calibri"/>
                <w:color w:val="000000"/>
              </w:rPr>
              <w:t>--</w:t>
            </w:r>
          </w:p>
        </w:tc>
        <w:tc>
          <w:tcPr>
            <w:tcW w:w="982" w:type="pct"/>
            <w:noWrap/>
            <w:hideMark/>
          </w:tcPr>
          <w:p w14:paraId="74E6B959" w14:textId="77777777" w:rsidR="0080171F" w:rsidRPr="005D4861" w:rsidRDefault="0080171F" w:rsidP="000F6F81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5D4861">
              <w:rPr>
                <w:rFonts w:ascii="Calibri" w:eastAsia="Times New Roman" w:hAnsi="Calibri" w:cs="Calibri"/>
                <w:color w:val="000000"/>
              </w:rPr>
              <w:t>30.9%</w:t>
            </w:r>
          </w:p>
        </w:tc>
        <w:tc>
          <w:tcPr>
            <w:tcW w:w="1375" w:type="pct"/>
            <w:noWrap/>
            <w:hideMark/>
          </w:tcPr>
          <w:p w14:paraId="526173A2" w14:textId="77777777" w:rsidR="0080171F" w:rsidRPr="005D4861" w:rsidRDefault="0080171F" w:rsidP="000F6F81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5D4861">
              <w:rPr>
                <w:rFonts w:ascii="Calibri" w:eastAsia="Times New Roman" w:hAnsi="Calibri" w:cs="Calibri"/>
                <w:color w:val="000000"/>
              </w:rPr>
              <w:t>69.1%</w:t>
            </w:r>
          </w:p>
        </w:tc>
      </w:tr>
      <w:tr w:rsidR="001C4AE3" w:rsidRPr="005D4861" w14:paraId="4CC8CE90" w14:textId="77777777" w:rsidTr="001C4AE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8" w:type="pct"/>
            <w:noWrap/>
            <w:hideMark/>
          </w:tcPr>
          <w:p w14:paraId="66E84D51" w14:textId="77777777" w:rsidR="0080171F" w:rsidRPr="005D4861" w:rsidRDefault="0080171F" w:rsidP="000F6F81">
            <w:pPr>
              <w:spacing w:line="276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D4861">
              <w:rPr>
                <w:rFonts w:ascii="Calibri" w:eastAsia="Times New Roman" w:hAnsi="Calibri" w:cs="Calibri"/>
                <w:color w:val="000000"/>
                <w:sz w:val="22"/>
              </w:rPr>
              <w:t>Linn/Benton/Jones</w:t>
            </w:r>
          </w:p>
        </w:tc>
        <w:tc>
          <w:tcPr>
            <w:tcW w:w="849" w:type="pct"/>
            <w:noWrap/>
            <w:hideMark/>
          </w:tcPr>
          <w:p w14:paraId="78EB0CBD" w14:textId="54576280" w:rsidR="0080171F" w:rsidRPr="005D4861" w:rsidRDefault="00803EA7" w:rsidP="000F6F81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5D4861">
              <w:rPr>
                <w:rFonts w:ascii="Calibri" w:eastAsia="Times New Roman" w:hAnsi="Calibri" w:cs="Calibri"/>
                <w:color w:val="000000"/>
              </w:rPr>
              <w:t>$1,291,965.61</w:t>
            </w:r>
          </w:p>
        </w:tc>
        <w:tc>
          <w:tcPr>
            <w:tcW w:w="386" w:type="pct"/>
            <w:noWrap/>
            <w:vAlign w:val="center"/>
            <w:hideMark/>
          </w:tcPr>
          <w:p w14:paraId="6C54B993" w14:textId="1784F656" w:rsidR="0080171F" w:rsidRPr="005D4861" w:rsidRDefault="0080171F" w:rsidP="000F6F8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5D4861">
              <w:rPr>
                <w:rFonts w:ascii="Calibri" w:eastAsia="Times New Roman" w:hAnsi="Calibri" w:cs="Calibri"/>
                <w:color w:val="000000"/>
              </w:rPr>
              <w:t>-</w:t>
            </w:r>
            <w:r w:rsidR="00803EA7" w:rsidRPr="005D4861">
              <w:rPr>
                <w:rFonts w:ascii="Calibri" w:eastAsia="Times New Roman" w:hAnsi="Calibri" w:cs="Calibri"/>
                <w:color w:val="000000"/>
              </w:rPr>
              <w:t>--</w:t>
            </w:r>
          </w:p>
        </w:tc>
        <w:tc>
          <w:tcPr>
            <w:tcW w:w="982" w:type="pct"/>
            <w:noWrap/>
            <w:hideMark/>
          </w:tcPr>
          <w:p w14:paraId="0960339E" w14:textId="77777777" w:rsidR="0080171F" w:rsidRPr="005D4861" w:rsidRDefault="0080171F" w:rsidP="000F6F8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5D4861">
              <w:rPr>
                <w:rFonts w:ascii="Calibri" w:eastAsia="Times New Roman" w:hAnsi="Calibri" w:cs="Calibri"/>
                <w:color w:val="000000"/>
              </w:rPr>
              <w:t>31.9%</w:t>
            </w:r>
          </w:p>
        </w:tc>
        <w:tc>
          <w:tcPr>
            <w:tcW w:w="1375" w:type="pct"/>
            <w:noWrap/>
            <w:hideMark/>
          </w:tcPr>
          <w:p w14:paraId="4AA8E793" w14:textId="77777777" w:rsidR="0080171F" w:rsidRPr="005D4861" w:rsidRDefault="0080171F" w:rsidP="000F6F8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5D4861">
              <w:rPr>
                <w:rFonts w:ascii="Calibri" w:eastAsia="Times New Roman" w:hAnsi="Calibri" w:cs="Calibri"/>
                <w:color w:val="000000"/>
              </w:rPr>
              <w:t>68.1%</w:t>
            </w:r>
          </w:p>
        </w:tc>
      </w:tr>
      <w:tr w:rsidR="001C4AE3" w:rsidRPr="005D4861" w14:paraId="6CE4D66C" w14:textId="77777777" w:rsidTr="001C4AE3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1" w:firstRow="0" w:lastRow="0" w:firstColumn="1" w:lastColumn="0" w:oddVBand="0" w:evenVBand="0" w:oddHBand="0" w:evenHBand="0" w:firstRowFirstColumn="0" w:firstRowLastColumn="0" w:lastRowFirstColumn="1" w:lastRowLastColumn="0"/>
            <w:tcW w:w="1408" w:type="pct"/>
            <w:noWrap/>
          </w:tcPr>
          <w:p w14:paraId="612F9EBA" w14:textId="52E5E465" w:rsidR="00803EA7" w:rsidRPr="005D4861" w:rsidRDefault="00803EA7" w:rsidP="000F6F81">
            <w:pPr>
              <w:spacing w:line="276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D4861">
              <w:rPr>
                <w:rFonts w:ascii="Calibri" w:eastAsia="Times New Roman" w:hAnsi="Calibri" w:cs="Calibri"/>
                <w:color w:val="000000"/>
                <w:sz w:val="22"/>
              </w:rPr>
              <w:t>Total</w:t>
            </w:r>
          </w:p>
        </w:tc>
        <w:tc>
          <w:tcPr>
            <w:tcW w:w="849" w:type="pct"/>
            <w:noWrap/>
          </w:tcPr>
          <w:p w14:paraId="7AE93B6E" w14:textId="7A3A2B3A" w:rsidR="00803EA7" w:rsidRPr="005D4861" w:rsidRDefault="00BE7188" w:rsidP="000F6F81">
            <w:pPr>
              <w:spacing w:line="276" w:lineRule="auto"/>
              <w:jc w:val="right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D4861">
              <w:rPr>
                <w:rFonts w:ascii="Calibri" w:eastAsia="Times New Roman" w:hAnsi="Calibri" w:cs="Calibri"/>
                <w:color w:val="000000"/>
                <w:sz w:val="22"/>
              </w:rPr>
              <w:t>$</w:t>
            </w:r>
            <w:r w:rsidR="00803EA7" w:rsidRPr="005D4861">
              <w:rPr>
                <w:rFonts w:ascii="Calibri" w:eastAsia="Times New Roman" w:hAnsi="Calibri" w:cs="Calibri"/>
                <w:color w:val="000000"/>
                <w:sz w:val="22"/>
              </w:rPr>
              <w:t>6,977,944.00</w:t>
            </w:r>
          </w:p>
        </w:tc>
        <w:tc>
          <w:tcPr>
            <w:tcW w:w="386" w:type="pct"/>
            <w:noWrap/>
            <w:vAlign w:val="center"/>
          </w:tcPr>
          <w:p w14:paraId="6099E072" w14:textId="510FFCB3" w:rsidR="00803EA7" w:rsidRPr="005D4861" w:rsidRDefault="00803EA7" w:rsidP="000F6F81">
            <w:pPr>
              <w:spacing w:line="276" w:lineRule="auto"/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D4861">
              <w:rPr>
                <w:rFonts w:ascii="Calibri" w:eastAsia="Times New Roman" w:hAnsi="Calibri" w:cs="Calibri"/>
                <w:color w:val="000000"/>
                <w:sz w:val="22"/>
              </w:rPr>
              <w:t>---</w:t>
            </w:r>
          </w:p>
        </w:tc>
        <w:tc>
          <w:tcPr>
            <w:tcW w:w="982" w:type="pct"/>
            <w:noWrap/>
          </w:tcPr>
          <w:p w14:paraId="0A446E6D" w14:textId="60F4AAB4" w:rsidR="00803EA7" w:rsidRPr="005D4861" w:rsidRDefault="00803EA7" w:rsidP="000F6F81">
            <w:pPr>
              <w:spacing w:line="276" w:lineRule="auto"/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D4861">
              <w:rPr>
                <w:rFonts w:ascii="Calibri" w:eastAsia="Times New Roman" w:hAnsi="Calibri" w:cs="Calibri"/>
                <w:color w:val="000000"/>
                <w:sz w:val="22"/>
              </w:rPr>
              <w:t>45%</w:t>
            </w:r>
          </w:p>
        </w:tc>
        <w:tc>
          <w:tcPr>
            <w:tcW w:w="1375" w:type="pct"/>
            <w:noWrap/>
          </w:tcPr>
          <w:p w14:paraId="7E4D0C7B" w14:textId="67FC9BDF" w:rsidR="00803EA7" w:rsidRPr="005D4861" w:rsidRDefault="00803EA7" w:rsidP="000F6F81">
            <w:pPr>
              <w:spacing w:line="276" w:lineRule="auto"/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D4861">
              <w:rPr>
                <w:rFonts w:ascii="Calibri" w:eastAsia="Times New Roman" w:hAnsi="Calibri" w:cs="Calibri"/>
                <w:color w:val="000000"/>
                <w:sz w:val="22"/>
              </w:rPr>
              <w:t>55%</w:t>
            </w:r>
          </w:p>
        </w:tc>
      </w:tr>
      <w:bookmarkEnd w:id="2"/>
    </w:tbl>
    <w:p w14:paraId="5D9B06ED" w14:textId="77777777" w:rsidR="00EF6B15" w:rsidRPr="00EF6B15" w:rsidRDefault="00EF6B15" w:rsidP="000F6F81">
      <w:pPr>
        <w:spacing w:after="0" w:line="276" w:lineRule="auto"/>
        <w:rPr>
          <w:sz w:val="24"/>
          <w:szCs w:val="24"/>
        </w:rPr>
      </w:pPr>
    </w:p>
    <w:p w14:paraId="5D864D7B" w14:textId="09C4269C" w:rsidR="00803EA7" w:rsidRDefault="00803EA7" w:rsidP="000F6F81">
      <w:p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6274A24A" w14:textId="3453ABAE" w:rsidR="00704EAE" w:rsidRDefault="00704EAE" w:rsidP="000F6F81">
      <w:pPr>
        <w:pStyle w:val="Caption"/>
        <w:keepNext/>
        <w:spacing w:after="0" w:line="276" w:lineRule="auto"/>
      </w:pPr>
      <w:r>
        <w:lastRenderedPageBreak/>
        <w:t>Table 3</w:t>
      </w:r>
    </w:p>
    <w:p w14:paraId="4509EEA9" w14:textId="15DCA6BF" w:rsidR="007E3F67" w:rsidRPr="00EF6B15" w:rsidRDefault="00803EA7" w:rsidP="000F6F81">
      <w:pPr>
        <w:spacing w:after="0" w:line="276" w:lineRule="auto"/>
        <w:rPr>
          <w:sz w:val="24"/>
          <w:szCs w:val="24"/>
        </w:rPr>
      </w:pPr>
      <w:r>
        <w:rPr>
          <w:noProof/>
        </w:rPr>
        <w:drawing>
          <wp:inline distT="0" distB="0" distL="0" distR="0" wp14:anchorId="4CF5BD56" wp14:editId="529925A9">
            <wp:extent cx="5943600" cy="5238750"/>
            <wp:effectExtent l="0" t="0" r="0" b="0"/>
            <wp:docPr id="1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B1AA670B-2320-4A1B-8E79-6D562A62AFD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sectPr w:rsidR="007E3F67" w:rsidRPr="00EF6B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1FCF36" w14:textId="77777777" w:rsidR="007C65D0" w:rsidRDefault="007C65D0" w:rsidP="000F6F81">
      <w:pPr>
        <w:spacing w:after="0" w:line="240" w:lineRule="auto"/>
      </w:pPr>
      <w:r>
        <w:separator/>
      </w:r>
    </w:p>
  </w:endnote>
  <w:endnote w:type="continuationSeparator" w:id="0">
    <w:p w14:paraId="2E1EC744" w14:textId="77777777" w:rsidR="007C65D0" w:rsidRDefault="007C65D0" w:rsidP="000F6F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20FB7D" w14:textId="77777777" w:rsidR="007C65D0" w:rsidRDefault="007C65D0" w:rsidP="000F6F81">
      <w:pPr>
        <w:spacing w:after="0" w:line="240" w:lineRule="auto"/>
      </w:pPr>
      <w:r>
        <w:separator/>
      </w:r>
    </w:p>
  </w:footnote>
  <w:footnote w:type="continuationSeparator" w:id="0">
    <w:p w14:paraId="32E7882D" w14:textId="77777777" w:rsidR="007C65D0" w:rsidRDefault="007C65D0" w:rsidP="000F6F8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F67"/>
    <w:rsid w:val="000F6F81"/>
    <w:rsid w:val="00187264"/>
    <w:rsid w:val="001C4AE3"/>
    <w:rsid w:val="005D4861"/>
    <w:rsid w:val="00704EAE"/>
    <w:rsid w:val="007B72FA"/>
    <w:rsid w:val="007C65D0"/>
    <w:rsid w:val="007D5A35"/>
    <w:rsid w:val="007E3F67"/>
    <w:rsid w:val="007F0BA4"/>
    <w:rsid w:val="0080171F"/>
    <w:rsid w:val="00803EA7"/>
    <w:rsid w:val="00AA37F8"/>
    <w:rsid w:val="00BE7188"/>
    <w:rsid w:val="00EF6B15"/>
    <w:rsid w:val="00FB0CBF"/>
    <w:rsid w:val="00FE2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93F48A"/>
  <w15:chartTrackingRefBased/>
  <w15:docId w15:val="{06E81626-2B2B-46D2-9A21-900986B5F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PlainTable5">
    <w:name w:val="Plain Table 5"/>
    <w:basedOn w:val="TableNormal"/>
    <w:uiPriority w:val="45"/>
    <w:rsid w:val="00EF6B15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Caption">
    <w:name w:val="caption"/>
    <w:basedOn w:val="Normal"/>
    <w:next w:val="Normal"/>
    <w:uiPriority w:val="35"/>
    <w:unhideWhenUsed/>
    <w:qFormat/>
    <w:rsid w:val="00704EAE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F6F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6F81"/>
  </w:style>
  <w:style w:type="paragraph" w:styleId="Footer">
    <w:name w:val="footer"/>
    <w:basedOn w:val="Normal"/>
    <w:link w:val="FooterChar"/>
    <w:uiPriority w:val="99"/>
    <w:unhideWhenUsed/>
    <w:rsid w:val="000F6F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6F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728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chart" Target="charts/chart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G:\PROJECTS%20AND%20RESOURCES\COVID%20response\Calculated%20Needx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G:\PROJECTS%20AND%20RESOURCES\COVID%20response\Calculated%20Needx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Distribution by Project Type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bar"/>
        <c:grouping val="percentStack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'NEED SCORES'!$Q$25:$Q$26</c:f>
              <c:strCache>
                <c:ptCount val="2"/>
                <c:pt idx="0">
                  <c:v>Prevention</c:v>
                </c:pt>
                <c:pt idx="1">
                  <c:v>Rapid Rehousing</c:v>
                </c:pt>
              </c:strCache>
            </c:strRef>
          </c:cat>
          <c:val>
            <c:numRef>
              <c:f>'NEED SCORES'!$R$25:$R$26</c:f>
              <c:numCache>
                <c:formatCode>0%</c:formatCode>
                <c:ptCount val="2"/>
                <c:pt idx="0">
                  <c:v>0.45</c:v>
                </c:pt>
                <c:pt idx="1">
                  <c:v>0.55000000000000004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E2A-4CB6-8D51-A05652CBE9EF}"/>
            </c:ext>
          </c:extLst>
        </c:ser>
        <c:ser>
          <c:idx val="1"/>
          <c:order val="1"/>
          <c:spPr>
            <a:noFill/>
            <a:ln>
              <a:noFill/>
            </a:ln>
            <a:effectLst/>
          </c:spPr>
          <c:invertIfNegative val="0"/>
          <c:cat>
            <c:strRef>
              <c:f>'NEED SCORES'!$Q$25:$Q$26</c:f>
              <c:strCache>
                <c:ptCount val="2"/>
                <c:pt idx="0">
                  <c:v>Prevention</c:v>
                </c:pt>
                <c:pt idx="1">
                  <c:v>Rapid Rehousing</c:v>
                </c:pt>
              </c:strCache>
            </c:strRef>
          </c:cat>
          <c:val>
            <c:numRef>
              <c:f>'NEED SCORES'!$S$25:$S$26</c:f>
              <c:numCache>
                <c:formatCode>0%</c:formatCode>
                <c:ptCount val="2"/>
                <c:pt idx="0">
                  <c:v>0.55000000000000004</c:v>
                </c:pt>
                <c:pt idx="1">
                  <c:v>0.45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5E2A-4CB6-8D51-A05652CBE9E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1391035312"/>
        <c:axId val="916694544"/>
      </c:barChart>
      <c:catAx>
        <c:axId val="1391035312"/>
        <c:scaling>
          <c:orientation val="maxMin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916694544"/>
        <c:crosses val="autoZero"/>
        <c:auto val="1"/>
        <c:lblAlgn val="ctr"/>
        <c:lblOffset val="100"/>
        <c:noMultiLvlLbl val="0"/>
      </c:catAx>
      <c:valAx>
        <c:axId val="91669454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391035312"/>
        <c:crosses val="max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'NEED SCORES'!$BN$1</c:f>
              <c:strCache>
                <c:ptCount val="1"/>
                <c:pt idx="0">
                  <c:v>Prevention</c:v>
                </c:pt>
              </c:strCache>
            </c:strRef>
          </c:tx>
          <c:spPr>
            <a:solidFill>
              <a:schemeClr val="accent1">
                <a:lumMod val="20000"/>
                <a:lumOff val="80000"/>
              </a:schemeClr>
            </a:solidFill>
            <a:ln>
              <a:solidFill>
                <a:schemeClr val="accent1"/>
              </a:solidFill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'NEED SCORES'!$BM$2:$BM$18</c:f>
              <c:strCache>
                <c:ptCount val="17"/>
                <c:pt idx="0">
                  <c:v>Woodbury</c:v>
                </c:pt>
                <c:pt idx="1">
                  <c:v>Balance of Counties West</c:v>
                </c:pt>
                <c:pt idx="2">
                  <c:v>Northwest Iowa</c:v>
                </c:pt>
                <c:pt idx="3">
                  <c:v>Upper Des Moines</c:v>
                </c:pt>
                <c:pt idx="4">
                  <c:v>Pottawattamie</c:v>
                </c:pt>
                <c:pt idx="5">
                  <c:v>North East</c:v>
                </c:pt>
                <c:pt idx="6">
                  <c:v>Two Rivers</c:v>
                </c:pt>
                <c:pt idx="7">
                  <c:v>Balance of Counties East</c:v>
                </c:pt>
                <c:pt idx="8">
                  <c:v>Black Hawk/Tama/Grundy</c:v>
                </c:pt>
                <c:pt idx="9">
                  <c:v>South Central/West</c:v>
                </c:pt>
                <c:pt idx="10">
                  <c:v>Southeast Iowa</c:v>
                </c:pt>
                <c:pt idx="11">
                  <c:v>North Central Iowa</c:v>
                </c:pt>
                <c:pt idx="12">
                  <c:v>Eastern Iowa</c:v>
                </c:pt>
                <c:pt idx="13">
                  <c:v>Quad Cities Bi-State</c:v>
                </c:pt>
                <c:pt idx="14">
                  <c:v>Polk County</c:v>
                </c:pt>
                <c:pt idx="15">
                  <c:v>Johnson/Washington</c:v>
                </c:pt>
                <c:pt idx="16">
                  <c:v>Linn/Benton/Jones</c:v>
                </c:pt>
              </c:strCache>
            </c:strRef>
          </c:cat>
          <c:val>
            <c:numRef>
              <c:f>'NEED SCORES'!$BN$2:$BN$18</c:f>
              <c:numCache>
                <c:formatCode>0%</c:formatCode>
                <c:ptCount val="17"/>
                <c:pt idx="0">
                  <c:v>9.2446934886750085E-3</c:v>
                </c:pt>
                <c:pt idx="1">
                  <c:v>2.3335642245236956E-2</c:v>
                </c:pt>
                <c:pt idx="2">
                  <c:v>3.7135396464558816E-2</c:v>
                </c:pt>
                <c:pt idx="3">
                  <c:v>4.339990838897971E-2</c:v>
                </c:pt>
                <c:pt idx="4">
                  <c:v>2.9682549843927337E-2</c:v>
                </c:pt>
                <c:pt idx="5">
                  <c:v>5.1157153953245868E-2</c:v>
                </c:pt>
                <c:pt idx="6">
                  <c:v>6.0710019800400146E-2</c:v>
                </c:pt>
                <c:pt idx="7">
                  <c:v>9.0487809677400902E-2</c:v>
                </c:pt>
                <c:pt idx="8">
                  <c:v>6.748932904734728E-2</c:v>
                </c:pt>
                <c:pt idx="9">
                  <c:v>4.8859945022374514E-2</c:v>
                </c:pt>
                <c:pt idx="10">
                  <c:v>6.7562942829494751E-2</c:v>
                </c:pt>
                <c:pt idx="11">
                  <c:v>5.5589018614521229E-2</c:v>
                </c:pt>
                <c:pt idx="12">
                  <c:v>7.4312811031308809E-2</c:v>
                </c:pt>
                <c:pt idx="13">
                  <c:v>7.4926070969785791E-2</c:v>
                </c:pt>
                <c:pt idx="14">
                  <c:v>8.546120635481376E-2</c:v>
                </c:pt>
                <c:pt idx="15">
                  <c:v>6.0798869299909922E-2</c:v>
                </c:pt>
                <c:pt idx="16">
                  <c:v>0.11984663296801924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699-411B-BB2E-B71CCE5CDC39}"/>
            </c:ext>
          </c:extLst>
        </c:ser>
        <c:ser>
          <c:idx val="1"/>
          <c:order val="1"/>
          <c:tx>
            <c:strRef>
              <c:f>'NEED SCORES'!$BO$1</c:f>
              <c:strCache>
                <c:ptCount val="1"/>
                <c:pt idx="0">
                  <c:v>Rapid Rehousing</c:v>
                </c:pt>
              </c:strCache>
            </c:strRef>
          </c:tx>
          <c:spPr>
            <a:solidFill>
              <a:schemeClr val="accent2">
                <a:lumMod val="20000"/>
                <a:lumOff val="80000"/>
              </a:schemeClr>
            </a:solidFill>
            <a:ln>
              <a:solidFill>
                <a:schemeClr val="accent2"/>
              </a:solidFill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'NEED SCORES'!$BM$2:$BM$18</c:f>
              <c:strCache>
                <c:ptCount val="17"/>
                <c:pt idx="0">
                  <c:v>Woodbury</c:v>
                </c:pt>
                <c:pt idx="1">
                  <c:v>Balance of Counties West</c:v>
                </c:pt>
                <c:pt idx="2">
                  <c:v>Northwest Iowa</c:v>
                </c:pt>
                <c:pt idx="3">
                  <c:v>Upper Des Moines</c:v>
                </c:pt>
                <c:pt idx="4">
                  <c:v>Pottawattamie</c:v>
                </c:pt>
                <c:pt idx="5">
                  <c:v>North East</c:v>
                </c:pt>
                <c:pt idx="6">
                  <c:v>Two Rivers</c:v>
                </c:pt>
                <c:pt idx="7">
                  <c:v>Balance of Counties East</c:v>
                </c:pt>
                <c:pt idx="8">
                  <c:v>Black Hawk/Tama/Grundy</c:v>
                </c:pt>
                <c:pt idx="9">
                  <c:v>South Central/West</c:v>
                </c:pt>
                <c:pt idx="10">
                  <c:v>Southeast Iowa</c:v>
                </c:pt>
                <c:pt idx="11">
                  <c:v>North Central Iowa</c:v>
                </c:pt>
                <c:pt idx="12">
                  <c:v>Eastern Iowa</c:v>
                </c:pt>
                <c:pt idx="13">
                  <c:v>Quad Cities Bi-State</c:v>
                </c:pt>
                <c:pt idx="14">
                  <c:v>Polk County</c:v>
                </c:pt>
                <c:pt idx="15">
                  <c:v>Johnson/Washington</c:v>
                </c:pt>
                <c:pt idx="16">
                  <c:v>Linn/Benton/Jones</c:v>
                </c:pt>
              </c:strCache>
            </c:strRef>
          </c:cat>
          <c:val>
            <c:numRef>
              <c:f>'NEED SCORES'!$BO$2:$BO$18</c:f>
              <c:numCache>
                <c:formatCode>0%</c:formatCode>
                <c:ptCount val="17"/>
                <c:pt idx="0">
                  <c:v>8.968716645267525E-3</c:v>
                </c:pt>
                <c:pt idx="1">
                  <c:v>1.091881659866965E-2</c:v>
                </c:pt>
                <c:pt idx="2">
                  <c:v>2.255677505020123E-2</c:v>
                </c:pt>
                <c:pt idx="3">
                  <c:v>2.61687491791022E-2</c:v>
                </c:pt>
                <c:pt idx="4">
                  <c:v>4.171678704359031E-2</c:v>
                </c:pt>
                <c:pt idx="5">
                  <c:v>2.9289746751500752E-2</c:v>
                </c:pt>
                <c:pt idx="6">
                  <c:v>2.465035844631468E-2</c:v>
                </c:pt>
                <c:pt idx="7">
                  <c:v>1.0422709531775173E-2</c:v>
                </c:pt>
                <c:pt idx="8">
                  <c:v>3.2861938268078567E-2</c:v>
                </c:pt>
                <c:pt idx="9">
                  <c:v>5.8352597490452955E-2</c:v>
                </c:pt>
                <c:pt idx="10">
                  <c:v>4.8741995958113404E-2</c:v>
                </c:pt>
                <c:pt idx="11">
                  <c:v>6.8363371214606991E-2</c:v>
                </c:pt>
                <c:pt idx="12">
                  <c:v>5.6176516694133885E-2</c:v>
                </c:pt>
                <c:pt idx="13">
                  <c:v>8.6632070473335807E-2</c:v>
                </c:pt>
                <c:pt idx="14">
                  <c:v>9.3494231754370674E-2</c:v>
                </c:pt>
                <c:pt idx="15">
                  <c:v>0.13218092298043496</c:v>
                </c:pt>
                <c:pt idx="16">
                  <c:v>0.24850369592005123</c:v>
                </c:pt>
              </c:numCache>
            </c:numRef>
          </c:val>
          <c:extLst xmlns:c15="http://schemas.microsoft.com/office/drawing/2012/chart">
            <c:ext xmlns:c16="http://schemas.microsoft.com/office/drawing/2014/chart" uri="{C3380CC4-5D6E-409C-BE32-E72D297353CC}">
              <c16:uniqueId val="{00000001-7699-411B-BB2E-B71CCE5CDC39}"/>
            </c:ext>
          </c:extLst>
        </c:ser>
        <c:ser>
          <c:idx val="2"/>
          <c:order val="2"/>
          <c:tx>
            <c:strRef>
              <c:f>'NEED SCORES'!$BP$1</c:f>
              <c:strCache>
                <c:ptCount val="1"/>
                <c:pt idx="0">
                  <c:v>Total</c:v>
                </c:pt>
              </c:strCache>
            </c:strRef>
          </c:tx>
          <c:spPr>
            <a:solidFill>
              <a:schemeClr val="accent3">
                <a:lumMod val="20000"/>
                <a:lumOff val="80000"/>
              </a:schemeClr>
            </a:solidFill>
            <a:ln>
              <a:solidFill>
                <a:schemeClr val="accent3"/>
              </a:solidFill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'NEED SCORES'!$BM$2:$BM$18</c:f>
              <c:strCache>
                <c:ptCount val="17"/>
                <c:pt idx="0">
                  <c:v>Woodbury</c:v>
                </c:pt>
                <c:pt idx="1">
                  <c:v>Balance of Counties West</c:v>
                </c:pt>
                <c:pt idx="2">
                  <c:v>Northwest Iowa</c:v>
                </c:pt>
                <c:pt idx="3">
                  <c:v>Upper Des Moines</c:v>
                </c:pt>
                <c:pt idx="4">
                  <c:v>Pottawattamie</c:v>
                </c:pt>
                <c:pt idx="5">
                  <c:v>North East</c:v>
                </c:pt>
                <c:pt idx="6">
                  <c:v>Two Rivers</c:v>
                </c:pt>
                <c:pt idx="7">
                  <c:v>Balance of Counties East</c:v>
                </c:pt>
                <c:pt idx="8">
                  <c:v>Black Hawk/Tama/Grundy</c:v>
                </c:pt>
                <c:pt idx="9">
                  <c:v>South Central/West</c:v>
                </c:pt>
                <c:pt idx="10">
                  <c:v>Southeast Iowa</c:v>
                </c:pt>
                <c:pt idx="11">
                  <c:v>North Central Iowa</c:v>
                </c:pt>
                <c:pt idx="12">
                  <c:v>Eastern Iowa</c:v>
                </c:pt>
                <c:pt idx="13">
                  <c:v>Quad Cities Bi-State</c:v>
                </c:pt>
                <c:pt idx="14">
                  <c:v>Polk County</c:v>
                </c:pt>
                <c:pt idx="15">
                  <c:v>Johnson/Washington</c:v>
                </c:pt>
                <c:pt idx="16">
                  <c:v>Linn/Benton/Jones</c:v>
                </c:pt>
              </c:strCache>
            </c:strRef>
          </c:cat>
          <c:val>
            <c:numRef>
              <c:f>'NEED SCORES'!$BP$2:$BP$18</c:f>
              <c:numCache>
                <c:formatCode>0%</c:formatCode>
                <c:ptCount val="17"/>
                <c:pt idx="0">
                  <c:v>9.1046142114549998E-3</c:v>
                </c:pt>
                <c:pt idx="1">
                  <c:v>1.7033157078501962E-2</c:v>
                </c:pt>
                <c:pt idx="2">
                  <c:v>2.9735635218749994E-2</c:v>
                </c:pt>
                <c:pt idx="3">
                  <c:v>3.4653782090916983E-2</c:v>
                </c:pt>
                <c:pt idx="4">
                  <c:v>3.5790842220958033E-2</c:v>
                </c:pt>
                <c:pt idx="5">
                  <c:v>4.0057778521325124E-2</c:v>
                </c:pt>
                <c:pt idx="6">
                  <c:v>4.2406993948987032E-2</c:v>
                </c:pt>
                <c:pt idx="7">
                  <c:v>4.9848670463872549E-2</c:v>
                </c:pt>
                <c:pt idx="8">
                  <c:v>4.9913289650401226E-2</c:v>
                </c:pt>
                <c:pt idx="9">
                  <c:v>5.3678189481623589E-2</c:v>
                </c:pt>
                <c:pt idx="10">
                  <c:v>5.8009878152808968E-2</c:v>
                </c:pt>
                <c:pt idx="11">
                  <c:v>6.2072975953403615E-2</c:v>
                </c:pt>
                <c:pt idx="12">
                  <c:v>6.5107259685648691E-2</c:v>
                </c:pt>
                <c:pt idx="13">
                  <c:v>8.0867757704617821E-2</c:v>
                </c:pt>
                <c:pt idx="14">
                  <c:v>8.9538578854500062E-2</c:v>
                </c:pt>
                <c:pt idx="15">
                  <c:v>9.7030700791959815E-2</c:v>
                </c:pt>
                <c:pt idx="16">
                  <c:v>0.18514989597026957</c:v>
                </c:pt>
              </c:numCache>
            </c:numRef>
          </c:val>
          <c:extLst xmlns:c15="http://schemas.microsoft.com/office/drawing/2012/chart">
            <c:ext xmlns:c16="http://schemas.microsoft.com/office/drawing/2014/chart" uri="{C3380CC4-5D6E-409C-BE32-E72D297353CC}">
              <c16:uniqueId val="{00000002-7699-411B-BB2E-B71CCE5CDC3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5"/>
        <c:axId val="960779359"/>
        <c:axId val="958627039"/>
        <c:extLst/>
      </c:barChart>
      <c:catAx>
        <c:axId val="960779359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200" b="0" i="0" u="none" strike="noStrike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sz="1200"/>
                  <a:t>Continuum of Care Region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200" b="0" i="0" u="none" strike="noStrike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5400000" spcFirstLastPara="1" vertOverflow="ellipsis" wrap="square" anchor="ctr" anchorCtr="1"/>
          <a:lstStyle/>
          <a:p>
            <a:pPr>
              <a:defRPr sz="900" b="0" i="0" u="none" strike="noStrike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958627039"/>
        <c:crosses val="autoZero"/>
        <c:auto val="1"/>
        <c:lblAlgn val="ctr"/>
        <c:lblOffset val="100"/>
        <c:noMultiLvlLbl val="0"/>
      </c:catAx>
      <c:valAx>
        <c:axId val="958627039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200" b="0" i="0" u="none" strike="noStrike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sz="1200"/>
                  <a:t>Percent of Distribution</a:t>
                </a:r>
                <a:r>
                  <a:rPr lang="en-US" sz="1200" baseline="0"/>
                  <a:t> in Each Category</a:t>
                </a:r>
                <a:endParaRPr lang="en-US" sz="1200"/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200" b="0" i="0" u="none" strike="noStrike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0%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960779359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36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/>
  </cs:chartArea>
  <cs:dataLabel>
    <cs:lnRef idx="0"/>
    <cs:fillRef idx="0"/>
    <cs:effectRef idx="0"/>
    <cs:fontRef idx="minor">
      <a:schemeClr val="tx1">
        <a:lumMod val="65000"/>
        <a:lumOff val="35000"/>
      </a:schemeClr>
    </cs:fontRef>
    <cs:defRPr sz="9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/>
  </cs:seriesAxis>
  <cs:seriesLine>
    <cs:lnRef idx="0"/>
    <cs:fillRef idx="0"/>
    <cs:effectRef idx="0"/>
    <cs:fontRef idx="minor">
      <a:schemeClr val="tx1"/>
    </cs:fontRef>
    <cs:spPr>
      <a:ln w="9525" cap="flat">
        <a:solidFill>
          <a:srgbClr val="D9D9D9"/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/>
  </cs:valueAxis>
  <cs:wall>
    <cs:lnRef idx="0"/>
    <cs:fillRef idx="0"/>
    <cs:effectRef idx="0"/>
    <cs:fontRef idx="minor">
      <a:schemeClr val="tx1"/>
    </cs:fontRef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692</Words>
  <Characters>3945</Characters>
  <Application>Microsoft Office Word</Application>
  <DocSecurity>4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ehren stover-wright</dc:creator>
  <cp:keywords/>
  <dc:description/>
  <cp:lastModifiedBy>Amber Lewis</cp:lastModifiedBy>
  <cp:revision>2</cp:revision>
  <dcterms:created xsi:type="dcterms:W3CDTF">2020-05-15T20:55:00Z</dcterms:created>
  <dcterms:modified xsi:type="dcterms:W3CDTF">2020-05-15T20:55:00Z</dcterms:modified>
</cp:coreProperties>
</file>